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4D6" w:rsidRPr="00F70A81" w:rsidRDefault="00C534D6" w:rsidP="00C534D6">
      <w:pPr>
        <w:jc w:val="center"/>
        <w:rPr>
          <w:b/>
          <w:sz w:val="28"/>
          <w:szCs w:val="28"/>
        </w:rPr>
      </w:pPr>
      <w:r w:rsidRPr="00F70A81">
        <w:rPr>
          <w:b/>
          <w:sz w:val="28"/>
          <w:szCs w:val="28"/>
        </w:rPr>
        <w:t>U.S. INSTITUTIONS AND THE POLICY PROCESS</w:t>
      </w:r>
    </w:p>
    <w:p w:rsidR="00C534D6" w:rsidRPr="00F70A81" w:rsidRDefault="00C534D6" w:rsidP="00C534D6">
      <w:pPr>
        <w:jc w:val="center"/>
        <w:rPr>
          <w:b/>
          <w:sz w:val="28"/>
          <w:szCs w:val="28"/>
        </w:rPr>
      </w:pPr>
      <w:r w:rsidRPr="00F70A81">
        <w:rPr>
          <w:b/>
          <w:sz w:val="28"/>
          <w:szCs w:val="28"/>
        </w:rPr>
        <w:t>PUBP-730</w:t>
      </w:r>
    </w:p>
    <w:p w:rsidR="00C534D6" w:rsidRPr="00F70A81" w:rsidRDefault="00BD2645"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sidRPr="00F70A81">
        <w:rPr>
          <w:bCs/>
        </w:rPr>
        <w:t>Fall</w:t>
      </w:r>
      <w:r w:rsidR="00C534D6" w:rsidRPr="00F70A81">
        <w:rPr>
          <w:bCs/>
        </w:rPr>
        <w:t>, 2016</w:t>
      </w:r>
    </w:p>
    <w:p w:rsidR="00C534D6" w:rsidRPr="00F70A81"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p>
    <w:p w:rsidR="00C534D6" w:rsidRPr="00F70A81"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F70A81">
        <w:rPr>
          <w:b/>
          <w:bCs/>
        </w:rPr>
        <w:t>Professor David M. Hart</w:t>
      </w:r>
    </w:p>
    <w:p w:rsidR="00C534D6" w:rsidRPr="007F1AA7" w:rsidRDefault="009676B2"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F70A81">
        <w:rPr>
          <w:bCs/>
        </w:rPr>
        <w:t xml:space="preserve">Schar </w:t>
      </w:r>
      <w:r w:rsidR="00C534D6" w:rsidRPr="007F1AA7">
        <w:rPr>
          <w:bCs/>
        </w:rPr>
        <w:t>School of Policy</w:t>
      </w:r>
      <w:r w:rsidRPr="007F1AA7">
        <w:rPr>
          <w:bCs/>
        </w:rPr>
        <w:t xml:space="preserve"> and </w:t>
      </w:r>
      <w:r w:rsidR="00C534D6" w:rsidRPr="007F1AA7">
        <w:rPr>
          <w:bCs/>
        </w:rPr>
        <w:t>Government</w:t>
      </w:r>
    </w:p>
    <w:p w:rsidR="00C534D6" w:rsidRPr="007F1AA7"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smartTag w:uri="urn:schemas-microsoft-com:office:smarttags" w:element="place">
        <w:smartTag w:uri="urn:schemas-microsoft-com:office:smarttags" w:element="PlaceName">
          <w:r w:rsidRPr="007F1AA7">
            <w:rPr>
              <w:bCs/>
            </w:rPr>
            <w:t>George</w:t>
          </w:r>
        </w:smartTag>
        <w:r w:rsidRPr="007F1AA7">
          <w:rPr>
            <w:bCs/>
          </w:rPr>
          <w:t xml:space="preserve"> </w:t>
        </w:r>
        <w:smartTag w:uri="urn:schemas-microsoft-com:office:smarttags" w:element="PlaceName">
          <w:r w:rsidRPr="007F1AA7">
            <w:rPr>
              <w:bCs/>
            </w:rPr>
            <w:t>Mason</w:t>
          </w:r>
        </w:smartTag>
        <w:r w:rsidRPr="007F1AA7">
          <w:rPr>
            <w:bCs/>
          </w:rPr>
          <w:t xml:space="preserve"> </w:t>
        </w:r>
        <w:smartTag w:uri="urn:schemas-microsoft-com:office:smarttags" w:element="PlaceName">
          <w:r w:rsidRPr="007F1AA7">
            <w:rPr>
              <w:bCs/>
            </w:rPr>
            <w:t>University</w:t>
          </w:r>
        </w:smartTag>
      </w:smartTag>
    </w:p>
    <w:p w:rsidR="00C534D6" w:rsidRPr="007F1AA7"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p w:rsidR="00C534D6" w:rsidRPr="007F1AA7"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7F1AA7">
        <w:rPr>
          <w:b/>
          <w:bCs/>
        </w:rPr>
        <w:t>Times, Places, and Contact Information</w:t>
      </w:r>
    </w:p>
    <w:p w:rsidR="00C534D6" w:rsidRPr="007F1AA7"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F1AA7">
        <w:t xml:space="preserve">Class meetings:   </w:t>
      </w:r>
      <w:r w:rsidR="00BD2645" w:rsidRPr="007F1AA7">
        <w:t>Tuesday</w:t>
      </w:r>
      <w:r w:rsidRPr="007F1AA7">
        <w:t xml:space="preserve">s, 7:20-10:00 p.m., Founders Hall </w:t>
      </w:r>
      <w:r w:rsidR="00583867" w:rsidRPr="007F1AA7">
        <w:t>470</w:t>
      </w:r>
    </w:p>
    <w:p w:rsidR="00C534D6" w:rsidRPr="007F1AA7"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7F1AA7">
        <w:rPr>
          <w:bCs/>
        </w:rPr>
        <w:t xml:space="preserve">Office hours:  </w:t>
      </w:r>
      <w:r w:rsidR="00BD2645" w:rsidRPr="007F1AA7">
        <w:rPr>
          <w:bCs/>
        </w:rPr>
        <w:t>Tuesday</w:t>
      </w:r>
      <w:r w:rsidRPr="007F1AA7">
        <w:rPr>
          <w:bCs/>
        </w:rPr>
        <w:t>s, 4-6 pm or by appointment</w:t>
      </w:r>
    </w:p>
    <w:p w:rsidR="00C534D6" w:rsidRPr="007F1AA7"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7F1AA7">
        <w:rPr>
          <w:bCs/>
        </w:rPr>
        <w:t>Office location:  Founders Hall 609</w:t>
      </w:r>
    </w:p>
    <w:p w:rsidR="00C534D6" w:rsidRPr="007F1AA7"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7F1AA7">
        <w:rPr>
          <w:bCs/>
        </w:rPr>
        <w:t xml:space="preserve">Email (preferred):  </w:t>
      </w:r>
      <w:hyperlink r:id="rId8" w:history="1">
        <w:r w:rsidRPr="007F1AA7">
          <w:rPr>
            <w:rStyle w:val="Hyperlink"/>
            <w:bCs/>
            <w:color w:val="auto"/>
          </w:rPr>
          <w:t>dhart@gmu.edu</w:t>
        </w:r>
      </w:hyperlink>
    </w:p>
    <w:p w:rsidR="00C534D6" w:rsidRPr="007F1AA7" w:rsidRDefault="00C534D6" w:rsidP="00C53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7F1AA7">
        <w:rPr>
          <w:bCs/>
        </w:rPr>
        <w:t>Office phone (if necessary):  703-993-2279</w:t>
      </w:r>
    </w:p>
    <w:p w:rsidR="00E7065A" w:rsidRPr="007F1AA7" w:rsidRDefault="00E7065A"/>
    <w:p w:rsidR="00FB72BD" w:rsidRPr="007F1AA7" w:rsidRDefault="00FB72BD">
      <w:pPr>
        <w:rPr>
          <w:b/>
        </w:rPr>
      </w:pPr>
      <w:r w:rsidRPr="007F1AA7">
        <w:rPr>
          <w:b/>
        </w:rPr>
        <w:t>Overview</w:t>
      </w:r>
    </w:p>
    <w:p w:rsidR="00F14A79" w:rsidRPr="007F1AA7" w:rsidRDefault="00E45824">
      <w:r w:rsidRPr="007F1AA7">
        <w:t xml:space="preserve">This course provides a theoretical and practical understanding of the </w:t>
      </w:r>
      <w:r w:rsidR="00F14A79" w:rsidRPr="007F1AA7">
        <w:t xml:space="preserve">principal governmental and non-governmental institutions </w:t>
      </w:r>
      <w:r w:rsidRPr="007F1AA7">
        <w:t xml:space="preserve">that shape </w:t>
      </w:r>
      <w:r w:rsidR="00F14A79" w:rsidRPr="007F1AA7">
        <w:t>public policy</w:t>
      </w:r>
      <w:r w:rsidRPr="007F1AA7">
        <w:t xml:space="preserve"> at the national level in the United States</w:t>
      </w:r>
      <w:r w:rsidR="00F14A79" w:rsidRPr="007F1AA7">
        <w:t>.</w:t>
      </w:r>
      <w:r w:rsidRPr="007F1AA7">
        <w:t xml:space="preserve">  These institutions include the three branches of the Federal government, which were provided for by the U.S. Constitution</w:t>
      </w:r>
      <w:r w:rsidR="00AF55E0" w:rsidRPr="007F1AA7">
        <w:t>,</w:t>
      </w:r>
      <w:r w:rsidRPr="007F1AA7">
        <w:t xml:space="preserve"> along with the states.  They also include institutions that the framers did not foresee, such as political parties and </w:t>
      </w:r>
      <w:r w:rsidR="00146885" w:rsidRPr="007F1AA7">
        <w:t xml:space="preserve">executive </w:t>
      </w:r>
      <w:r w:rsidRPr="007F1AA7">
        <w:t>agencies.  The course will investigate the interactions of these institutions over time as well as their day-to-day operations.</w:t>
      </w:r>
    </w:p>
    <w:p w:rsidR="00FB72BD" w:rsidRPr="007F1AA7" w:rsidRDefault="00FB72BD"/>
    <w:p w:rsidR="00C534D6" w:rsidRPr="007F1AA7" w:rsidRDefault="00C534D6" w:rsidP="00C534D6">
      <w:pPr>
        <w:rPr>
          <w:b/>
        </w:rPr>
      </w:pPr>
      <w:r w:rsidRPr="007F1AA7">
        <w:rPr>
          <w:b/>
        </w:rPr>
        <w:t>Learning Outcomes</w:t>
      </w:r>
    </w:p>
    <w:p w:rsidR="00E45824" w:rsidRPr="007F1AA7" w:rsidRDefault="00E45824" w:rsidP="00E45824">
      <w:r w:rsidRPr="007F1AA7">
        <w:t>Upon completion of this course, students should have acquired:</w:t>
      </w:r>
    </w:p>
    <w:p w:rsidR="00E45824" w:rsidRPr="007F1AA7" w:rsidRDefault="00D91A89" w:rsidP="00D91A89">
      <w:pPr>
        <w:pStyle w:val="ListParagraph"/>
        <w:numPr>
          <w:ilvl w:val="0"/>
          <w:numId w:val="3"/>
        </w:numPr>
      </w:pPr>
      <w:r w:rsidRPr="007F1AA7">
        <w:t>Greater f</w:t>
      </w:r>
      <w:r w:rsidR="00E45824" w:rsidRPr="007F1AA7">
        <w:t>amiliarity with the national policy-making process in the U.S., including the int</w:t>
      </w:r>
      <w:r w:rsidR="00090B64" w:rsidRPr="007F1AA7">
        <w:t>eraction of policy and politics,</w:t>
      </w:r>
    </w:p>
    <w:p w:rsidR="00E45824" w:rsidRPr="007F1AA7" w:rsidRDefault="00D91A89" w:rsidP="00D91A89">
      <w:pPr>
        <w:pStyle w:val="ListParagraph"/>
        <w:numPr>
          <w:ilvl w:val="0"/>
          <w:numId w:val="3"/>
        </w:numPr>
      </w:pPr>
      <w:r w:rsidRPr="007F1AA7">
        <w:t>Deeper a</w:t>
      </w:r>
      <w:r w:rsidR="00E45824" w:rsidRPr="007F1AA7">
        <w:t>ppreciation of how the U.S. policy-making process compares to those of other nations</w:t>
      </w:r>
      <w:r w:rsidR="00090B64" w:rsidRPr="007F1AA7">
        <w:t>,</w:t>
      </w:r>
    </w:p>
    <w:p w:rsidR="00E45824" w:rsidRPr="007F1AA7" w:rsidRDefault="00D91A89" w:rsidP="00D91A89">
      <w:pPr>
        <w:pStyle w:val="ListParagraph"/>
        <w:numPr>
          <w:ilvl w:val="0"/>
          <w:numId w:val="3"/>
        </w:numPr>
      </w:pPr>
      <w:r w:rsidRPr="007F1AA7">
        <w:t xml:space="preserve">Enhanced </w:t>
      </w:r>
      <w:r w:rsidR="00E45824" w:rsidRPr="007F1AA7">
        <w:t xml:space="preserve">ability to analyze information and engage effectively in strategic discussions about </w:t>
      </w:r>
      <w:r w:rsidRPr="007F1AA7">
        <w:t>U.S. national policy-making</w:t>
      </w:r>
      <w:r w:rsidR="00090B64" w:rsidRPr="007F1AA7">
        <w:t xml:space="preserve"> and its reform, </w:t>
      </w:r>
    </w:p>
    <w:p w:rsidR="00D91A89" w:rsidRPr="007F1AA7" w:rsidRDefault="00D91A89" w:rsidP="00D91A89">
      <w:pPr>
        <w:pStyle w:val="ListParagraph"/>
        <w:numPr>
          <w:ilvl w:val="0"/>
          <w:numId w:val="3"/>
        </w:numPr>
      </w:pPr>
      <w:r w:rsidRPr="007F1AA7">
        <w:t>Stronger written and oral communication skills</w:t>
      </w:r>
      <w:r w:rsidR="00090B64" w:rsidRPr="007F1AA7">
        <w:t>, and</w:t>
      </w:r>
    </w:p>
    <w:p w:rsidR="00D91A89" w:rsidRPr="007F1AA7" w:rsidRDefault="00D91A89" w:rsidP="00D91A89">
      <w:pPr>
        <w:pStyle w:val="ListParagraph"/>
        <w:numPr>
          <w:ilvl w:val="0"/>
          <w:numId w:val="3"/>
        </w:numPr>
      </w:pPr>
      <w:r w:rsidRPr="007F1AA7">
        <w:t xml:space="preserve">More profound understanding of the </w:t>
      </w:r>
      <w:r w:rsidR="00E45824" w:rsidRPr="007F1AA7">
        <w:t xml:space="preserve">ethical and moral dimensions </w:t>
      </w:r>
      <w:r w:rsidRPr="007F1AA7">
        <w:t xml:space="preserve">of </w:t>
      </w:r>
      <w:r w:rsidR="00090B64" w:rsidRPr="007F1AA7">
        <w:t>public policy.</w:t>
      </w:r>
    </w:p>
    <w:p w:rsidR="00E45824" w:rsidRPr="007F1AA7" w:rsidRDefault="00E45824" w:rsidP="00E45824"/>
    <w:p w:rsidR="00C534D6" w:rsidRPr="007F1AA7" w:rsidRDefault="00C534D6" w:rsidP="00C534D6">
      <w:r w:rsidRPr="007F1AA7">
        <w:rPr>
          <w:b/>
        </w:rPr>
        <w:t>Participants</w:t>
      </w:r>
      <w:r w:rsidRPr="007F1AA7">
        <w:t xml:space="preserve"> </w:t>
      </w:r>
    </w:p>
    <w:p w:rsidR="00C534D6" w:rsidRPr="007F1AA7" w:rsidRDefault="00D91A89">
      <w:r w:rsidRPr="007F1AA7">
        <w:t>PUBP-730 is open to all qualified graduate students</w:t>
      </w:r>
      <w:r w:rsidR="00090B64" w:rsidRPr="007F1AA7">
        <w:t xml:space="preserve"> and </w:t>
      </w:r>
      <w:r w:rsidRPr="007F1AA7">
        <w:t xml:space="preserve">is a prerequisite for the Ph.D. in Public Policy at SPGIA.  </w:t>
      </w:r>
    </w:p>
    <w:p w:rsidR="00D91A89" w:rsidRPr="007F1AA7" w:rsidRDefault="00D91A89">
      <w:pPr>
        <w:rPr>
          <w:b/>
        </w:rPr>
      </w:pPr>
    </w:p>
    <w:p w:rsidR="00C534D6" w:rsidRPr="007F1AA7" w:rsidRDefault="00C534D6" w:rsidP="00C534D6">
      <w:r w:rsidRPr="007F1AA7">
        <w:rPr>
          <w:b/>
        </w:rPr>
        <w:t xml:space="preserve">Course Texts and </w:t>
      </w:r>
      <w:r w:rsidR="00090B64" w:rsidRPr="007F1AA7">
        <w:rPr>
          <w:b/>
        </w:rPr>
        <w:t>Additional Readings</w:t>
      </w:r>
      <w:r w:rsidRPr="007F1AA7">
        <w:t xml:space="preserve"> </w:t>
      </w:r>
    </w:p>
    <w:p w:rsidR="00C534D6" w:rsidRPr="007F1AA7" w:rsidRDefault="006F7984">
      <w:r w:rsidRPr="007F1AA7">
        <w:t>T</w:t>
      </w:r>
      <w:r w:rsidR="00090B64" w:rsidRPr="007F1AA7">
        <w:t>wo</w:t>
      </w:r>
      <w:r w:rsidRPr="007F1AA7">
        <w:t xml:space="preserve"> texts will be available in the campus bookstore:</w:t>
      </w:r>
    </w:p>
    <w:p w:rsidR="006F7984" w:rsidRPr="007F1AA7" w:rsidRDefault="00FB72BD" w:rsidP="00FB72BD">
      <w:pPr>
        <w:pStyle w:val="ListParagraph"/>
        <w:numPr>
          <w:ilvl w:val="0"/>
          <w:numId w:val="2"/>
        </w:numPr>
      </w:pPr>
      <w:r w:rsidRPr="007F1AA7">
        <w:t xml:space="preserve">Haskell, John, Marian Currinder, and Sara A. Grove, </w:t>
      </w:r>
      <w:r w:rsidRPr="007F1AA7">
        <w:rPr>
          <w:i/>
        </w:rPr>
        <w:t>Congress in Context</w:t>
      </w:r>
      <w:r w:rsidRPr="007F1AA7">
        <w:t>, 2</w:t>
      </w:r>
      <w:r w:rsidRPr="007F1AA7">
        <w:rPr>
          <w:vertAlign w:val="superscript"/>
        </w:rPr>
        <w:t>nd</w:t>
      </w:r>
      <w:r w:rsidRPr="007F1AA7">
        <w:t xml:space="preserve"> edition (Boulder:  Westview Press, 2014.)</w:t>
      </w:r>
    </w:p>
    <w:p w:rsidR="00FB72BD" w:rsidRPr="007F1AA7" w:rsidRDefault="00FB72BD" w:rsidP="00FB72BD">
      <w:pPr>
        <w:pStyle w:val="ListParagraph"/>
        <w:numPr>
          <w:ilvl w:val="0"/>
          <w:numId w:val="2"/>
        </w:numPr>
      </w:pPr>
      <w:r w:rsidRPr="007F1AA7">
        <w:t xml:space="preserve">Taylor, Steven L., Matthew S. Shugart, Arend Lijphart, and Bernard Grofman, </w:t>
      </w:r>
      <w:r w:rsidRPr="007F1AA7">
        <w:rPr>
          <w:i/>
        </w:rPr>
        <w:t xml:space="preserve">A Different Democracy:  American Government in a 31-Country Perspective </w:t>
      </w:r>
      <w:r w:rsidRPr="007F1AA7">
        <w:t>(New Haven:  Yale University Press, 2014).</w:t>
      </w:r>
    </w:p>
    <w:p w:rsidR="006F7984" w:rsidRPr="007F1AA7" w:rsidRDefault="00FB72BD">
      <w:r w:rsidRPr="007F1AA7">
        <w:lastRenderedPageBreak/>
        <w:t>Additional readings will be made available through the course website or linked through the syllabus to open web sources.</w:t>
      </w:r>
    </w:p>
    <w:p w:rsidR="006F7984" w:rsidRPr="007F1AA7" w:rsidRDefault="006F7984"/>
    <w:p w:rsidR="00C534D6" w:rsidRPr="007F1AA7" w:rsidRDefault="00C534D6" w:rsidP="00C534D6">
      <w:r w:rsidRPr="007F1AA7">
        <w:rPr>
          <w:b/>
        </w:rPr>
        <w:t>Format</w:t>
      </w:r>
      <w:r w:rsidRPr="007F1AA7">
        <w:t xml:space="preserve"> </w:t>
      </w:r>
    </w:p>
    <w:p w:rsidR="00C534D6" w:rsidRPr="007F1AA7" w:rsidRDefault="00343334" w:rsidP="00C534D6">
      <w:r w:rsidRPr="007F1AA7">
        <w:t>The primary format for this course will be the seminar, with a significant role for students as discussion leaders and participants.  The seminar format will be supplemented by faculty lectures and occasional guest speakers.</w:t>
      </w:r>
    </w:p>
    <w:p w:rsidR="007A7626" w:rsidRPr="007F1AA7" w:rsidRDefault="007A7626" w:rsidP="00C534D6"/>
    <w:p w:rsidR="00C534D6" w:rsidRPr="007F1AA7" w:rsidRDefault="00C534D6" w:rsidP="00C534D6">
      <w:r w:rsidRPr="007F1AA7">
        <w:rPr>
          <w:b/>
        </w:rPr>
        <w:t>Assignments and Grading</w:t>
      </w:r>
      <w:r w:rsidRPr="007F1AA7">
        <w:t xml:space="preserve"> </w:t>
      </w:r>
    </w:p>
    <w:p w:rsidR="001C183D" w:rsidRPr="007F1AA7" w:rsidRDefault="001C183D" w:rsidP="001C183D">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F1AA7">
        <w:t>Weekly seminar participation, weighted at 20%.</w:t>
      </w:r>
    </w:p>
    <w:p w:rsidR="00343334" w:rsidRPr="007F1AA7" w:rsidRDefault="008C3B35" w:rsidP="00090B64">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F1AA7">
        <w:t xml:space="preserve">Discussion leadership and </w:t>
      </w:r>
      <w:r w:rsidR="00AD4292" w:rsidRPr="007F1AA7">
        <w:t>response to weekly question</w:t>
      </w:r>
      <w:r w:rsidR="0078100D" w:rsidRPr="007F1AA7">
        <w:t>,</w:t>
      </w:r>
      <w:r w:rsidR="00343334" w:rsidRPr="007F1AA7">
        <w:t xml:space="preserve"> </w:t>
      </w:r>
      <w:r w:rsidR="00791573" w:rsidRPr="007F1AA7">
        <w:t xml:space="preserve">approx. 750 words, </w:t>
      </w:r>
      <w:r w:rsidR="0078100D" w:rsidRPr="007F1AA7">
        <w:t xml:space="preserve">due at </w:t>
      </w:r>
      <w:r w:rsidR="00F27961" w:rsidRPr="007F1AA7">
        <w:t xml:space="preserve">one </w:t>
      </w:r>
      <w:r w:rsidR="0078100D" w:rsidRPr="007F1AA7">
        <w:t xml:space="preserve">class </w:t>
      </w:r>
      <w:r w:rsidR="00090B64" w:rsidRPr="007F1AA7">
        <w:t>meeting</w:t>
      </w:r>
      <w:r w:rsidR="0078100D" w:rsidRPr="007F1AA7">
        <w:t xml:space="preserve"> </w:t>
      </w:r>
      <w:r w:rsidR="00791573" w:rsidRPr="007F1AA7">
        <w:t xml:space="preserve">as assigned between </w:t>
      </w:r>
      <w:r w:rsidR="00146885" w:rsidRPr="007F1AA7">
        <w:t>Sept. 6 and Nov. 15</w:t>
      </w:r>
      <w:r w:rsidR="00F27961" w:rsidRPr="007F1AA7">
        <w:t xml:space="preserve">, </w:t>
      </w:r>
      <w:r w:rsidR="009410F4" w:rsidRPr="007F1AA7">
        <w:t>weighted at</w:t>
      </w:r>
      <w:r w:rsidR="0078100D" w:rsidRPr="007F1AA7">
        <w:t xml:space="preserve"> 1</w:t>
      </w:r>
      <w:r w:rsidR="00C7475D" w:rsidRPr="007F1AA7">
        <w:t>0</w:t>
      </w:r>
      <w:r w:rsidR="0078100D" w:rsidRPr="007F1AA7">
        <w:t>%</w:t>
      </w:r>
      <w:r w:rsidR="00791573" w:rsidRPr="007F1AA7">
        <w:t>.</w:t>
      </w:r>
    </w:p>
    <w:p w:rsidR="00C7475D" w:rsidRPr="007F1AA7" w:rsidRDefault="000D387D" w:rsidP="00090B64">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t>Policy and politics l</w:t>
      </w:r>
      <w:r w:rsidR="00343334" w:rsidRPr="007F1AA7">
        <w:t>andscape</w:t>
      </w:r>
      <w:r w:rsidR="00791573" w:rsidRPr="007F1AA7">
        <w:t xml:space="preserve"> </w:t>
      </w:r>
      <w:r w:rsidR="00C7475D" w:rsidRPr="007F1AA7">
        <w:t xml:space="preserve">mapping project, individual or team assignment (up to 3 members), topic selected by students with faculty approval: </w:t>
      </w:r>
    </w:p>
    <w:p w:rsidR="00C7475D" w:rsidRPr="007F1AA7" w:rsidRDefault="00C7475D" w:rsidP="007F1AA7">
      <w:pPr>
        <w:pStyle w:val="ListParagraph"/>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F1AA7">
        <w:t>Presentation with one-page handout at class meeting, due as assigned between Oct. 18 and Nov. 22, weighted at 10%.</w:t>
      </w:r>
    </w:p>
    <w:p w:rsidR="00343334" w:rsidRPr="007F1AA7" w:rsidRDefault="00C7475D" w:rsidP="007F1AA7">
      <w:pPr>
        <w:pStyle w:val="ListParagraph"/>
        <w:numPr>
          <w:ilvl w:val="1"/>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F1AA7">
        <w:t>M</w:t>
      </w:r>
      <w:r w:rsidR="00791573" w:rsidRPr="007F1AA7">
        <w:t>emo</w:t>
      </w:r>
      <w:r w:rsidR="00343334" w:rsidRPr="007F1AA7">
        <w:t>,</w:t>
      </w:r>
      <w:r w:rsidRPr="007F1AA7">
        <w:t xml:space="preserve"> approx. </w:t>
      </w:r>
      <w:r w:rsidR="009302F2">
        <w:t>2</w:t>
      </w:r>
      <w:r w:rsidRPr="007F1AA7">
        <w:t>500</w:t>
      </w:r>
      <w:r w:rsidR="0078100D" w:rsidRPr="007F1AA7">
        <w:t xml:space="preserve"> words</w:t>
      </w:r>
      <w:r w:rsidR="009302F2">
        <w:t>/person</w:t>
      </w:r>
      <w:r w:rsidR="00AF55E0" w:rsidRPr="007F1AA7">
        <w:t xml:space="preserve">, due </w:t>
      </w:r>
      <w:r w:rsidR="00146885" w:rsidRPr="007F1AA7">
        <w:t xml:space="preserve">Nov. 22 </w:t>
      </w:r>
      <w:r w:rsidR="00AF55E0" w:rsidRPr="007F1AA7">
        <w:t>in class</w:t>
      </w:r>
      <w:r w:rsidRPr="007F1AA7">
        <w:t xml:space="preserve">, weighted at </w:t>
      </w:r>
      <w:r w:rsidR="00195A91" w:rsidRPr="007F1AA7">
        <w:t>3</w:t>
      </w:r>
      <w:r w:rsidRPr="007F1AA7">
        <w:t>5%.</w:t>
      </w:r>
    </w:p>
    <w:p w:rsidR="00343334" w:rsidRPr="007F1AA7" w:rsidRDefault="00343334" w:rsidP="00090B64">
      <w:pPr>
        <w:pStyle w:val="ListParagraph"/>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F1AA7">
        <w:t>Analysis of proposed institutional reform</w:t>
      </w:r>
      <w:r w:rsidR="0078100D" w:rsidRPr="007F1AA7">
        <w:t>,</w:t>
      </w:r>
      <w:r w:rsidR="00791573" w:rsidRPr="007F1AA7">
        <w:t xml:space="preserve"> </w:t>
      </w:r>
      <w:r w:rsidR="001E3B1D" w:rsidRPr="007F1AA7">
        <w:t>approx. 200</w:t>
      </w:r>
      <w:r w:rsidR="009410F4" w:rsidRPr="007F1AA7">
        <w:t xml:space="preserve">0 words, </w:t>
      </w:r>
      <w:r w:rsidR="00C7475D" w:rsidRPr="007F1AA7">
        <w:t xml:space="preserve">topic selected from list, </w:t>
      </w:r>
      <w:r w:rsidR="009410F4" w:rsidRPr="007F1AA7">
        <w:t>due</w:t>
      </w:r>
      <w:r w:rsidR="00146885" w:rsidRPr="007F1AA7">
        <w:t xml:space="preserve"> Dec. 13</w:t>
      </w:r>
      <w:r w:rsidR="009410F4" w:rsidRPr="007F1AA7">
        <w:t xml:space="preserve"> at 5 p.m</w:t>
      </w:r>
      <w:r w:rsidR="0078100D" w:rsidRPr="007F1AA7">
        <w:t>.</w:t>
      </w:r>
      <w:r w:rsidR="009410F4" w:rsidRPr="007F1AA7">
        <w:t xml:space="preserve">, weighted at </w:t>
      </w:r>
      <w:r w:rsidR="00873421" w:rsidRPr="007F1AA7">
        <w:t>25</w:t>
      </w:r>
      <w:r w:rsidR="0078100D" w:rsidRPr="007F1AA7">
        <w:t>%.</w:t>
      </w:r>
    </w:p>
    <w:p w:rsidR="00343334" w:rsidRPr="007F1AA7" w:rsidRDefault="00343334" w:rsidP="003433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8100D" w:rsidRPr="007F1AA7" w:rsidRDefault="0078100D" w:rsidP="003433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F1AA7">
        <w:t>Detailed handouts with instruction</w:t>
      </w:r>
      <w:r w:rsidR="00090B64" w:rsidRPr="007F1AA7">
        <w:t>s</w:t>
      </w:r>
      <w:r w:rsidRPr="007F1AA7">
        <w:t xml:space="preserve"> for each assignment</w:t>
      </w:r>
      <w:r w:rsidR="00090B64" w:rsidRPr="007F1AA7">
        <w:t xml:space="preserve"> will be provided</w:t>
      </w:r>
      <w:r w:rsidRPr="007F1AA7">
        <w:t xml:space="preserve"> well in advance of </w:t>
      </w:r>
      <w:r w:rsidR="00090B64" w:rsidRPr="007F1AA7">
        <w:t xml:space="preserve">each </w:t>
      </w:r>
      <w:r w:rsidRPr="007F1AA7">
        <w:t>due date.</w:t>
      </w:r>
    </w:p>
    <w:p w:rsidR="0078100D" w:rsidRPr="007F1AA7" w:rsidRDefault="0078100D" w:rsidP="003433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90B64" w:rsidRPr="007F1AA7" w:rsidRDefault="00090B64" w:rsidP="003433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F1AA7">
        <w:rPr>
          <w:b/>
        </w:rPr>
        <w:t>Late Assignments</w:t>
      </w:r>
    </w:p>
    <w:p w:rsidR="00343334" w:rsidRPr="007F1AA7" w:rsidRDefault="00343334" w:rsidP="003433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F1AA7">
        <w:t>Late assignments</w:t>
      </w:r>
      <w:r w:rsidR="00090B64" w:rsidRPr="007F1AA7">
        <w:t xml:space="preserve">, with the exception of the </w:t>
      </w:r>
      <w:r w:rsidR="00930D81" w:rsidRPr="007F1AA7">
        <w:t>discussion leadership assisgnment</w:t>
      </w:r>
      <w:r w:rsidR="00090B64" w:rsidRPr="007F1AA7">
        <w:t>,</w:t>
      </w:r>
      <w:r w:rsidR="00930D81" w:rsidRPr="007F1AA7">
        <w:t xml:space="preserve"> </w:t>
      </w:r>
      <w:r w:rsidRPr="007F1AA7">
        <w:t xml:space="preserve">will be penalized one grade level (for instance, from A+ to A) for each calendar day or part thereof, up to a full grade (A+ to B+) each week. </w:t>
      </w:r>
      <w:r w:rsidR="00090B64" w:rsidRPr="007F1AA7">
        <w:t xml:space="preserve"> The </w:t>
      </w:r>
      <w:r w:rsidR="00930D81" w:rsidRPr="007F1AA7">
        <w:t xml:space="preserve">discussion leadership assignment </w:t>
      </w:r>
      <w:r w:rsidR="00090B64" w:rsidRPr="007F1AA7">
        <w:t>will not be accepted late; students missing one of these assignments will receive an F for it.</w:t>
      </w:r>
      <w:r w:rsidR="00930D81" w:rsidRPr="007F1AA7">
        <w:t xml:space="preserve">  If you anticipate difficulty completing this assignment, please seek to trade your date with another student and contact Prof. Hart at once.</w:t>
      </w:r>
    </w:p>
    <w:p w:rsidR="00343334" w:rsidRPr="007F1AA7" w:rsidRDefault="00343334" w:rsidP="00343334"/>
    <w:p w:rsidR="00343334" w:rsidRPr="007F1AA7" w:rsidRDefault="00343334" w:rsidP="003433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7F1AA7">
        <w:rPr>
          <w:b/>
        </w:rPr>
        <w:t>Class Participation</w:t>
      </w:r>
    </w:p>
    <w:p w:rsidR="00343334" w:rsidRPr="007F1AA7" w:rsidRDefault="00343334" w:rsidP="0034333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F1AA7">
        <w:t>Students need to attend regularly to participate effectively.  A student who misses more than three classes will be penalized one full grade on the participation component for each additional class missed.  Please consult Prof. Hart if you are in jeopardy of such a circumstance.</w:t>
      </w:r>
    </w:p>
    <w:p w:rsidR="00343334" w:rsidRPr="007F1AA7" w:rsidRDefault="00343334" w:rsidP="00C534D6"/>
    <w:p w:rsidR="00C534D6" w:rsidRPr="007F1AA7" w:rsidRDefault="00C534D6" w:rsidP="00C534D6">
      <w:r w:rsidRPr="007F1AA7">
        <w:rPr>
          <w:b/>
        </w:rPr>
        <w:t xml:space="preserve">Students with Special Needs </w:t>
      </w:r>
      <w:r w:rsidRPr="007F1AA7">
        <w:br/>
        <w:t>If you are a student with a disability and you need academic acc</w:t>
      </w:r>
      <w:r w:rsidR="00090B64" w:rsidRPr="007F1AA7">
        <w:t>o</w:t>
      </w:r>
      <w:r w:rsidRPr="007F1AA7">
        <w:t>m</w:t>
      </w:r>
      <w:r w:rsidR="00090B64" w:rsidRPr="007F1AA7">
        <w:t>m</w:t>
      </w:r>
      <w:r w:rsidRPr="007F1AA7">
        <w:t>odation</w:t>
      </w:r>
      <w:r w:rsidR="00C16847" w:rsidRPr="007F1AA7">
        <w:t xml:space="preserve">, </w:t>
      </w:r>
      <w:r w:rsidRPr="007F1AA7">
        <w:t xml:space="preserve">please see the instructor and contact the Disability Resource Center (DRC) at 993-2474.  All academic accommodations must be arranged through the DRC. </w:t>
      </w:r>
    </w:p>
    <w:p w:rsidR="00C534D6" w:rsidRPr="007F1AA7" w:rsidRDefault="00C534D6" w:rsidP="00C534D6"/>
    <w:p w:rsidR="00C534D6" w:rsidRPr="007F1AA7" w:rsidRDefault="00C534D6" w:rsidP="00C534D6">
      <w:pPr>
        <w:rPr>
          <w:b/>
        </w:rPr>
      </w:pPr>
      <w:r w:rsidRPr="007F1AA7">
        <w:rPr>
          <w:b/>
        </w:rPr>
        <w:t>Read the plagiarism policy attached to the end of this syllabus.  Ignorance of or failure to understand the policy will not lead to lenience in case of violation.</w:t>
      </w:r>
    </w:p>
    <w:p w:rsidR="00D02AB2" w:rsidRPr="007F1AA7" w:rsidRDefault="00D02AB2" w:rsidP="00C534D6"/>
    <w:p w:rsidR="00D02AB2" w:rsidRPr="007F1AA7" w:rsidRDefault="00D02AB2" w:rsidP="00C534D6"/>
    <w:p w:rsidR="00D02AB2" w:rsidRPr="007F1AA7" w:rsidRDefault="00D02AB2" w:rsidP="00090B64">
      <w:pPr>
        <w:jc w:val="center"/>
        <w:rPr>
          <w:b/>
        </w:rPr>
      </w:pPr>
      <w:r w:rsidRPr="007F1AA7">
        <w:br w:type="column"/>
      </w:r>
      <w:r w:rsidR="00090B64" w:rsidRPr="007F1AA7">
        <w:rPr>
          <w:b/>
        </w:rPr>
        <w:lastRenderedPageBreak/>
        <w:t>Class Schedule</w:t>
      </w:r>
    </w:p>
    <w:p w:rsidR="00090B64" w:rsidRPr="007F1AA7" w:rsidRDefault="00090B64" w:rsidP="00C534D6"/>
    <w:tbl>
      <w:tblPr>
        <w:tblStyle w:val="TableGrid"/>
        <w:tblW w:w="9800" w:type="dxa"/>
        <w:tblLook w:val="04A0" w:firstRow="1" w:lastRow="0" w:firstColumn="1" w:lastColumn="0" w:noHBand="0" w:noVBand="1"/>
      </w:tblPr>
      <w:tblGrid>
        <w:gridCol w:w="1054"/>
        <w:gridCol w:w="1117"/>
        <w:gridCol w:w="2176"/>
        <w:gridCol w:w="2868"/>
        <w:gridCol w:w="2585"/>
      </w:tblGrid>
      <w:tr w:rsidR="00F70A81" w:rsidRPr="007F1AA7" w:rsidTr="000E506D">
        <w:tc>
          <w:tcPr>
            <w:tcW w:w="1054" w:type="dxa"/>
          </w:tcPr>
          <w:p w:rsidR="00D02AB2" w:rsidRPr="007F1AA7" w:rsidRDefault="00D02AB2" w:rsidP="00C534D6">
            <w:r w:rsidRPr="007F1AA7">
              <w:t>Class</w:t>
            </w:r>
          </w:p>
        </w:tc>
        <w:tc>
          <w:tcPr>
            <w:tcW w:w="1117" w:type="dxa"/>
          </w:tcPr>
          <w:p w:rsidR="00D02AB2" w:rsidRPr="007F1AA7" w:rsidRDefault="00D02AB2" w:rsidP="00C534D6">
            <w:r w:rsidRPr="007F1AA7">
              <w:t>Date</w:t>
            </w:r>
          </w:p>
        </w:tc>
        <w:tc>
          <w:tcPr>
            <w:tcW w:w="2176" w:type="dxa"/>
          </w:tcPr>
          <w:p w:rsidR="00D02AB2" w:rsidRPr="007F1AA7" w:rsidRDefault="00D02AB2" w:rsidP="00C534D6">
            <w:r w:rsidRPr="007F1AA7">
              <w:t>Topic</w:t>
            </w:r>
          </w:p>
        </w:tc>
        <w:tc>
          <w:tcPr>
            <w:tcW w:w="2868" w:type="dxa"/>
          </w:tcPr>
          <w:p w:rsidR="00D02AB2" w:rsidRPr="007F1AA7" w:rsidRDefault="00D02AB2" w:rsidP="00C534D6">
            <w:r w:rsidRPr="007F1AA7">
              <w:t>Reading</w:t>
            </w:r>
          </w:p>
        </w:tc>
        <w:tc>
          <w:tcPr>
            <w:tcW w:w="2585" w:type="dxa"/>
          </w:tcPr>
          <w:p w:rsidR="00D02AB2" w:rsidRPr="007F1AA7" w:rsidRDefault="00D02AB2" w:rsidP="00C534D6">
            <w:r w:rsidRPr="007F1AA7">
              <w:t>Assignments</w:t>
            </w:r>
          </w:p>
        </w:tc>
      </w:tr>
      <w:tr w:rsidR="00F70A81" w:rsidRPr="007F1AA7" w:rsidTr="000E506D">
        <w:tc>
          <w:tcPr>
            <w:tcW w:w="1054" w:type="dxa"/>
          </w:tcPr>
          <w:p w:rsidR="00D02AB2" w:rsidRPr="007F1AA7" w:rsidRDefault="00D02AB2" w:rsidP="00C534D6">
            <w:r w:rsidRPr="007F1AA7">
              <w:t>1</w:t>
            </w:r>
          </w:p>
        </w:tc>
        <w:tc>
          <w:tcPr>
            <w:tcW w:w="1117" w:type="dxa"/>
          </w:tcPr>
          <w:p w:rsidR="00D02AB2" w:rsidRPr="007F1AA7" w:rsidRDefault="00BD2645" w:rsidP="00BD2645">
            <w:r w:rsidRPr="007F1AA7">
              <w:t>Aug.</w:t>
            </w:r>
            <w:r w:rsidR="00D02AB2" w:rsidRPr="007F1AA7">
              <w:t xml:space="preserve"> </w:t>
            </w:r>
            <w:r w:rsidRPr="007F1AA7">
              <w:t>3</w:t>
            </w:r>
            <w:r w:rsidR="00D02AB2" w:rsidRPr="007F1AA7">
              <w:t>0</w:t>
            </w:r>
          </w:p>
        </w:tc>
        <w:tc>
          <w:tcPr>
            <w:tcW w:w="2176" w:type="dxa"/>
          </w:tcPr>
          <w:p w:rsidR="00D02AB2" w:rsidRPr="007F1AA7" w:rsidRDefault="0078100D" w:rsidP="00C534D6">
            <w:r w:rsidRPr="007F1AA7">
              <w:t>Introduction:  Political Engineering</w:t>
            </w:r>
          </w:p>
        </w:tc>
        <w:tc>
          <w:tcPr>
            <w:tcW w:w="2868" w:type="dxa"/>
          </w:tcPr>
          <w:p w:rsidR="00D02AB2" w:rsidRPr="007F1AA7" w:rsidRDefault="004C303D" w:rsidP="00C534D6">
            <w:r w:rsidRPr="007F1AA7">
              <w:t>Taylor</w:t>
            </w:r>
            <w:r w:rsidR="00FB67FC" w:rsidRPr="007F1AA7">
              <w:t xml:space="preserve"> et al., chs. 1-2, skim ch. 3</w:t>
            </w:r>
          </w:p>
          <w:p w:rsidR="00EC1E33" w:rsidRPr="007F1AA7" w:rsidRDefault="00FB67FC" w:rsidP="00585E9F">
            <w:r w:rsidRPr="007F1AA7">
              <w:t>Haskell et al., ch. 1</w:t>
            </w:r>
          </w:p>
        </w:tc>
        <w:tc>
          <w:tcPr>
            <w:tcW w:w="2585" w:type="dxa"/>
          </w:tcPr>
          <w:p w:rsidR="00D02AB2" w:rsidRPr="007F1AA7" w:rsidRDefault="0078100D" w:rsidP="00C534D6">
            <w:r w:rsidRPr="007F1AA7">
              <w:t>None</w:t>
            </w:r>
          </w:p>
        </w:tc>
      </w:tr>
      <w:tr w:rsidR="00F70A81" w:rsidRPr="007F1AA7" w:rsidTr="000E506D">
        <w:tc>
          <w:tcPr>
            <w:tcW w:w="1054" w:type="dxa"/>
          </w:tcPr>
          <w:p w:rsidR="00FB67FC" w:rsidRPr="007F1AA7" w:rsidRDefault="00FB67FC" w:rsidP="00C534D6">
            <w:r w:rsidRPr="007F1AA7">
              <w:t>2</w:t>
            </w:r>
          </w:p>
        </w:tc>
        <w:tc>
          <w:tcPr>
            <w:tcW w:w="1117" w:type="dxa"/>
          </w:tcPr>
          <w:p w:rsidR="00FB67FC" w:rsidRPr="007F1AA7" w:rsidRDefault="00BD2645" w:rsidP="00BD2645">
            <w:r w:rsidRPr="007F1AA7">
              <w:t>Sept. 6</w:t>
            </w:r>
          </w:p>
        </w:tc>
        <w:tc>
          <w:tcPr>
            <w:tcW w:w="2176" w:type="dxa"/>
          </w:tcPr>
          <w:p w:rsidR="00FB67FC" w:rsidRPr="007F1AA7" w:rsidRDefault="00FB67FC" w:rsidP="0019757E">
            <w:r w:rsidRPr="007F1AA7">
              <w:t xml:space="preserve">Congress </w:t>
            </w:r>
          </w:p>
        </w:tc>
        <w:tc>
          <w:tcPr>
            <w:tcW w:w="2868" w:type="dxa"/>
          </w:tcPr>
          <w:p w:rsidR="00FB67FC" w:rsidRPr="007F1AA7" w:rsidRDefault="004C303D" w:rsidP="0019757E">
            <w:r w:rsidRPr="007F1AA7">
              <w:t>Taylor</w:t>
            </w:r>
            <w:r w:rsidR="00FB67FC" w:rsidRPr="007F1AA7">
              <w:t xml:space="preserve"> et al., ch. 7</w:t>
            </w:r>
            <w:r w:rsidR="00F012BB" w:rsidRPr="007F1AA7">
              <w:t xml:space="preserve"> &amp;</w:t>
            </w:r>
            <w:r w:rsidR="00E215B8" w:rsidRPr="007F1AA7">
              <w:t xml:space="preserve"> pp. 320-</w:t>
            </w:r>
            <w:r w:rsidR="000B095B" w:rsidRPr="007F1AA7">
              <w:t>4</w:t>
            </w:r>
          </w:p>
          <w:p w:rsidR="00FB67FC" w:rsidRPr="007F1AA7" w:rsidRDefault="00FB67FC" w:rsidP="00FB67FC">
            <w:r w:rsidRPr="007F1AA7">
              <w:t>Haskell et al., chs.3, 5-6, skim ch. 2</w:t>
            </w:r>
          </w:p>
        </w:tc>
        <w:tc>
          <w:tcPr>
            <w:tcW w:w="2585" w:type="dxa"/>
          </w:tcPr>
          <w:p w:rsidR="005B55CC" w:rsidRPr="007F1AA7" w:rsidRDefault="005B55CC" w:rsidP="0019757E">
            <w:r w:rsidRPr="007F1AA7">
              <w:t>Discussion leadership</w:t>
            </w:r>
          </w:p>
          <w:p w:rsidR="00FB67FC" w:rsidRPr="007F1AA7" w:rsidRDefault="00FB67FC" w:rsidP="00C534D6">
            <w:r w:rsidRPr="007F1AA7">
              <w:t>Seminar participation</w:t>
            </w:r>
          </w:p>
        </w:tc>
      </w:tr>
      <w:tr w:rsidR="00F70A81" w:rsidRPr="007F1AA7" w:rsidTr="000E506D">
        <w:tc>
          <w:tcPr>
            <w:tcW w:w="1054" w:type="dxa"/>
          </w:tcPr>
          <w:p w:rsidR="00FB67FC" w:rsidRPr="007F1AA7" w:rsidRDefault="00FB67FC" w:rsidP="0019757E">
            <w:r w:rsidRPr="007F1AA7">
              <w:t>3</w:t>
            </w:r>
          </w:p>
        </w:tc>
        <w:tc>
          <w:tcPr>
            <w:tcW w:w="1117" w:type="dxa"/>
          </w:tcPr>
          <w:p w:rsidR="00FB67FC" w:rsidRPr="007F1AA7" w:rsidRDefault="00BD2645" w:rsidP="00BD2645">
            <w:r w:rsidRPr="007F1AA7">
              <w:t>Sept. 13</w:t>
            </w:r>
          </w:p>
        </w:tc>
        <w:tc>
          <w:tcPr>
            <w:tcW w:w="2176" w:type="dxa"/>
          </w:tcPr>
          <w:p w:rsidR="00FB67FC" w:rsidRPr="007F1AA7" w:rsidRDefault="00FB67FC" w:rsidP="0019757E">
            <w:r w:rsidRPr="007F1AA7">
              <w:t>The President</w:t>
            </w:r>
          </w:p>
        </w:tc>
        <w:tc>
          <w:tcPr>
            <w:tcW w:w="2868" w:type="dxa"/>
          </w:tcPr>
          <w:p w:rsidR="00FB67FC" w:rsidRPr="007F1AA7" w:rsidRDefault="004C303D" w:rsidP="0019757E">
            <w:r w:rsidRPr="007F1AA7">
              <w:t>Taylor</w:t>
            </w:r>
            <w:r w:rsidR="00FB67FC" w:rsidRPr="007F1AA7">
              <w:t xml:space="preserve"> et al., ch. 8</w:t>
            </w:r>
          </w:p>
          <w:p w:rsidR="00FB67FC" w:rsidRPr="007F1AA7" w:rsidRDefault="00FB67FC" w:rsidP="0019757E">
            <w:r w:rsidRPr="007F1AA7">
              <w:t>Haskell et al., ch. 11</w:t>
            </w:r>
          </w:p>
          <w:p w:rsidR="00DA27BC" w:rsidRPr="007F1AA7" w:rsidRDefault="00A12ADE" w:rsidP="0019757E">
            <w:hyperlink r:id="rId9" w:history="1">
              <w:r w:rsidR="00161063" w:rsidRPr="007F1AA7">
                <w:rPr>
                  <w:rStyle w:val="Hyperlink"/>
                  <w:color w:val="auto"/>
                </w:rPr>
                <w:t>Klein</w:t>
              </w:r>
            </w:hyperlink>
            <w:r w:rsidR="00F70A81" w:rsidRPr="007F1AA7">
              <w:rPr>
                <w:rStyle w:val="Hyperlink"/>
                <w:color w:val="auto"/>
              </w:rPr>
              <w:t xml:space="preserve"> </w:t>
            </w:r>
            <w:r w:rsidR="00F70A81" w:rsidRPr="007F1AA7">
              <w:rPr>
                <w:rStyle w:val="Hyperlink"/>
                <w:color w:val="auto"/>
                <w:u w:val="none"/>
              </w:rPr>
              <w:t>(open source)</w:t>
            </w:r>
          </w:p>
        </w:tc>
        <w:tc>
          <w:tcPr>
            <w:tcW w:w="2585" w:type="dxa"/>
          </w:tcPr>
          <w:p w:rsidR="005B55CC" w:rsidRPr="007F1AA7" w:rsidRDefault="005B55CC" w:rsidP="005B55CC">
            <w:r w:rsidRPr="007F1AA7">
              <w:t>Discussion leadership</w:t>
            </w:r>
          </w:p>
          <w:p w:rsidR="00FB67FC" w:rsidRPr="007F1AA7" w:rsidRDefault="00FB67FC" w:rsidP="0019757E">
            <w:r w:rsidRPr="007F1AA7">
              <w:t>Seminar participation</w:t>
            </w:r>
          </w:p>
          <w:p w:rsidR="00FB67FC" w:rsidRPr="007F1AA7" w:rsidRDefault="00FB67FC" w:rsidP="0019757E"/>
        </w:tc>
      </w:tr>
      <w:tr w:rsidR="00F70A81" w:rsidRPr="007F1AA7" w:rsidTr="000E506D">
        <w:tc>
          <w:tcPr>
            <w:tcW w:w="1054" w:type="dxa"/>
          </w:tcPr>
          <w:p w:rsidR="000E506D" w:rsidRPr="007F1AA7" w:rsidRDefault="000E506D" w:rsidP="0019757E">
            <w:r w:rsidRPr="007F1AA7">
              <w:t>4</w:t>
            </w:r>
          </w:p>
        </w:tc>
        <w:tc>
          <w:tcPr>
            <w:tcW w:w="1117" w:type="dxa"/>
          </w:tcPr>
          <w:p w:rsidR="000E506D" w:rsidRPr="007F1AA7" w:rsidRDefault="000E506D" w:rsidP="00BD2645">
            <w:r w:rsidRPr="007F1AA7">
              <w:t>Sept. 20</w:t>
            </w:r>
          </w:p>
        </w:tc>
        <w:tc>
          <w:tcPr>
            <w:tcW w:w="2176" w:type="dxa"/>
          </w:tcPr>
          <w:p w:rsidR="000E506D" w:rsidRPr="007F1AA7" w:rsidRDefault="000E506D" w:rsidP="00CF1EC8">
            <w:r w:rsidRPr="007F1AA7">
              <w:t>The Budget Process</w:t>
            </w:r>
          </w:p>
        </w:tc>
        <w:tc>
          <w:tcPr>
            <w:tcW w:w="2868" w:type="dxa"/>
          </w:tcPr>
          <w:p w:rsidR="000E506D" w:rsidRPr="007F1AA7" w:rsidRDefault="000E506D" w:rsidP="00590B90">
            <w:r w:rsidRPr="007F1AA7">
              <w:t>Haskell et al., ch. 7</w:t>
            </w:r>
            <w:r w:rsidR="00CB1FA8" w:rsidRPr="007F1AA7">
              <w:t>, skim ch. 8</w:t>
            </w:r>
          </w:p>
          <w:p w:rsidR="00CB1FA8" w:rsidRPr="007F1AA7" w:rsidRDefault="00CB1FA8" w:rsidP="00590B90">
            <w:r w:rsidRPr="007F1AA7">
              <w:t>Schick, ch. 5</w:t>
            </w:r>
            <w:r w:rsidR="00930D81" w:rsidRPr="007F1AA7">
              <w:t xml:space="preserve"> (BB)</w:t>
            </w:r>
          </w:p>
          <w:p w:rsidR="00CB1FA8" w:rsidRPr="007F1AA7" w:rsidRDefault="00CB1FA8">
            <w:r w:rsidRPr="007F1AA7">
              <w:t>Neustadt and May, pp. 157-167 &amp; 212-219</w:t>
            </w:r>
            <w:r w:rsidR="00930D81" w:rsidRPr="007F1AA7">
              <w:t xml:space="preserve"> (BB)</w:t>
            </w:r>
          </w:p>
        </w:tc>
        <w:tc>
          <w:tcPr>
            <w:tcW w:w="2585" w:type="dxa"/>
          </w:tcPr>
          <w:p w:rsidR="000E506D" w:rsidRPr="007F1AA7" w:rsidRDefault="000E506D" w:rsidP="00590B90">
            <w:r w:rsidRPr="007F1AA7">
              <w:t>Discussion leadership</w:t>
            </w:r>
          </w:p>
          <w:p w:rsidR="000E506D" w:rsidRPr="007F1AA7" w:rsidRDefault="000E506D" w:rsidP="00590B90">
            <w:r w:rsidRPr="007F1AA7">
              <w:t xml:space="preserve">Seminar participation </w:t>
            </w:r>
          </w:p>
          <w:p w:rsidR="000E506D" w:rsidRPr="007F1AA7" w:rsidRDefault="000E506D" w:rsidP="00590B90"/>
        </w:tc>
      </w:tr>
      <w:tr w:rsidR="00F70A81" w:rsidRPr="007F1AA7" w:rsidTr="000E506D">
        <w:tc>
          <w:tcPr>
            <w:tcW w:w="1054" w:type="dxa"/>
          </w:tcPr>
          <w:p w:rsidR="000E506D" w:rsidRPr="007F1AA7" w:rsidRDefault="000E506D" w:rsidP="0019757E">
            <w:r w:rsidRPr="007F1AA7">
              <w:t>5</w:t>
            </w:r>
          </w:p>
        </w:tc>
        <w:tc>
          <w:tcPr>
            <w:tcW w:w="1117" w:type="dxa"/>
          </w:tcPr>
          <w:p w:rsidR="000E506D" w:rsidRPr="007F1AA7" w:rsidRDefault="000E506D" w:rsidP="00BD2645">
            <w:r w:rsidRPr="007F1AA7">
              <w:t>Sept. 27</w:t>
            </w:r>
          </w:p>
        </w:tc>
        <w:tc>
          <w:tcPr>
            <w:tcW w:w="2176" w:type="dxa"/>
          </w:tcPr>
          <w:p w:rsidR="000E506D" w:rsidRPr="007F1AA7" w:rsidRDefault="000E506D" w:rsidP="00CF1EC8">
            <w:r w:rsidRPr="007F1AA7">
              <w:t>Executive Agencies</w:t>
            </w:r>
          </w:p>
        </w:tc>
        <w:tc>
          <w:tcPr>
            <w:tcW w:w="2868" w:type="dxa"/>
          </w:tcPr>
          <w:p w:rsidR="000E506D" w:rsidRPr="007F1AA7" w:rsidRDefault="000E506D" w:rsidP="00590B90">
            <w:r w:rsidRPr="007F1AA7">
              <w:t>Haskell et al., chs. 9-10</w:t>
            </w:r>
          </w:p>
          <w:p w:rsidR="00F012BB" w:rsidRPr="007F1AA7" w:rsidRDefault="00F012BB" w:rsidP="00590B90">
            <w:r w:rsidRPr="007F1AA7">
              <w:t>Katz</w:t>
            </w:r>
            <w:r w:rsidR="00930D81" w:rsidRPr="007F1AA7">
              <w:t xml:space="preserve"> (BB)</w:t>
            </w:r>
          </w:p>
          <w:p w:rsidR="000E506D" w:rsidRPr="007F1AA7" w:rsidRDefault="00CB1FA8" w:rsidP="00CF1EC8">
            <w:r w:rsidRPr="007F1AA7">
              <w:t>Mettler</w:t>
            </w:r>
            <w:r w:rsidR="00930D81" w:rsidRPr="007F1AA7">
              <w:t xml:space="preserve"> (BB)</w:t>
            </w:r>
          </w:p>
        </w:tc>
        <w:tc>
          <w:tcPr>
            <w:tcW w:w="2585" w:type="dxa"/>
          </w:tcPr>
          <w:p w:rsidR="000E506D" w:rsidRPr="007F1AA7" w:rsidRDefault="000E506D" w:rsidP="00590B90">
            <w:r w:rsidRPr="007F1AA7">
              <w:t>Discussion leadership</w:t>
            </w:r>
          </w:p>
          <w:p w:rsidR="000E506D" w:rsidRPr="007F1AA7" w:rsidRDefault="000E506D" w:rsidP="00590B90">
            <w:r w:rsidRPr="007F1AA7">
              <w:t xml:space="preserve">Seminar participation </w:t>
            </w:r>
          </w:p>
          <w:p w:rsidR="000E506D" w:rsidRPr="007F1AA7" w:rsidRDefault="000E506D" w:rsidP="00CF1EC8"/>
        </w:tc>
      </w:tr>
      <w:tr w:rsidR="00F70A81" w:rsidRPr="007F1AA7" w:rsidTr="000E506D">
        <w:tc>
          <w:tcPr>
            <w:tcW w:w="1054" w:type="dxa"/>
          </w:tcPr>
          <w:p w:rsidR="000E506D" w:rsidRPr="007F1AA7" w:rsidRDefault="000E506D" w:rsidP="0019757E">
            <w:r w:rsidRPr="007F1AA7">
              <w:t>6</w:t>
            </w:r>
          </w:p>
        </w:tc>
        <w:tc>
          <w:tcPr>
            <w:tcW w:w="1117" w:type="dxa"/>
          </w:tcPr>
          <w:p w:rsidR="000E506D" w:rsidRPr="007F1AA7" w:rsidRDefault="000E506D" w:rsidP="00BD2645">
            <w:r w:rsidRPr="007F1AA7">
              <w:t>Oct. 4</w:t>
            </w:r>
          </w:p>
        </w:tc>
        <w:tc>
          <w:tcPr>
            <w:tcW w:w="2176" w:type="dxa"/>
          </w:tcPr>
          <w:p w:rsidR="000E506D" w:rsidRPr="007F1AA7" w:rsidRDefault="000E506D" w:rsidP="00CF1EC8">
            <w:r w:rsidRPr="007F1AA7">
              <w:t xml:space="preserve">Foreign and Military Policy-Making </w:t>
            </w:r>
          </w:p>
        </w:tc>
        <w:tc>
          <w:tcPr>
            <w:tcW w:w="2868" w:type="dxa"/>
          </w:tcPr>
          <w:p w:rsidR="000E506D" w:rsidRPr="007F1AA7" w:rsidRDefault="00F012BB" w:rsidP="00590B90">
            <w:r w:rsidRPr="007F1AA7">
              <w:t>Reread Haskell, pp. 339-</w:t>
            </w:r>
            <w:r w:rsidR="000E506D" w:rsidRPr="007F1AA7">
              <w:t>53</w:t>
            </w:r>
          </w:p>
          <w:p w:rsidR="009A5FB5" w:rsidRDefault="009A5FB5" w:rsidP="00590B90">
            <w:r w:rsidRPr="007F1AA7">
              <w:t>Griffin (BB)</w:t>
            </w:r>
          </w:p>
          <w:p w:rsidR="000E506D" w:rsidRPr="007F1AA7" w:rsidRDefault="00AC4D78" w:rsidP="009A5FB5">
            <w:pPr>
              <w:rPr>
                <w:u w:val="single"/>
              </w:rPr>
            </w:pPr>
            <w:r w:rsidRPr="007F1AA7">
              <w:t>Auerswald</w:t>
            </w:r>
            <w:r w:rsidR="00930D81" w:rsidRPr="007F1AA7">
              <w:t xml:space="preserve"> (BB)</w:t>
            </w:r>
          </w:p>
        </w:tc>
        <w:tc>
          <w:tcPr>
            <w:tcW w:w="2585" w:type="dxa"/>
          </w:tcPr>
          <w:p w:rsidR="000E506D" w:rsidRPr="007F1AA7" w:rsidRDefault="000E506D" w:rsidP="00590B90">
            <w:r w:rsidRPr="007F1AA7">
              <w:t>Discussion leadership</w:t>
            </w:r>
          </w:p>
          <w:p w:rsidR="000E506D" w:rsidRPr="007F1AA7" w:rsidRDefault="000E506D" w:rsidP="00590B90">
            <w:r w:rsidRPr="007F1AA7">
              <w:t xml:space="preserve">Seminar participation </w:t>
            </w:r>
          </w:p>
          <w:p w:rsidR="000E506D" w:rsidRPr="007F1AA7" w:rsidRDefault="000E506D" w:rsidP="00CF1EC8"/>
        </w:tc>
      </w:tr>
      <w:tr w:rsidR="00F70A81" w:rsidRPr="007F1AA7" w:rsidTr="00177897">
        <w:tc>
          <w:tcPr>
            <w:tcW w:w="9800" w:type="dxa"/>
            <w:gridSpan w:val="5"/>
          </w:tcPr>
          <w:p w:rsidR="000E506D" w:rsidRPr="007F1AA7" w:rsidRDefault="000E506D" w:rsidP="00BD2645">
            <w:pPr>
              <w:jc w:val="center"/>
            </w:pPr>
            <w:r w:rsidRPr="007F1AA7">
              <w:rPr>
                <w:highlight w:val="yellow"/>
              </w:rPr>
              <w:t xml:space="preserve">NO CLASS ON OCTOBER 11 – COLUMBUS DAY </w:t>
            </w:r>
          </w:p>
        </w:tc>
      </w:tr>
      <w:tr w:rsidR="00F70A81" w:rsidRPr="007F1AA7" w:rsidTr="000E506D">
        <w:tc>
          <w:tcPr>
            <w:tcW w:w="1054" w:type="dxa"/>
          </w:tcPr>
          <w:p w:rsidR="00CB1FA8" w:rsidRPr="007F1AA7" w:rsidRDefault="00CB1FA8" w:rsidP="00DA67DB">
            <w:r w:rsidRPr="007F1AA7">
              <w:t>7</w:t>
            </w:r>
          </w:p>
        </w:tc>
        <w:tc>
          <w:tcPr>
            <w:tcW w:w="1117" w:type="dxa"/>
          </w:tcPr>
          <w:p w:rsidR="00CB1FA8" w:rsidRPr="007F1AA7" w:rsidRDefault="00CB1FA8" w:rsidP="00DA67DB">
            <w:r w:rsidRPr="007F1AA7">
              <w:t>Oct. 18</w:t>
            </w:r>
          </w:p>
        </w:tc>
        <w:tc>
          <w:tcPr>
            <w:tcW w:w="2176" w:type="dxa"/>
          </w:tcPr>
          <w:p w:rsidR="00CB1FA8" w:rsidRPr="007F1AA7" w:rsidRDefault="00CB1FA8" w:rsidP="00DA67DB">
            <w:r w:rsidRPr="007F1AA7">
              <w:t xml:space="preserve">Political Parties and Interest Groups </w:t>
            </w:r>
          </w:p>
        </w:tc>
        <w:tc>
          <w:tcPr>
            <w:tcW w:w="2868" w:type="dxa"/>
          </w:tcPr>
          <w:p w:rsidR="00CB1FA8" w:rsidRPr="007F1AA7" w:rsidRDefault="00CB1FA8" w:rsidP="00A27F0A">
            <w:r w:rsidRPr="007F1AA7">
              <w:t>Taylor et al., ch. 6</w:t>
            </w:r>
          </w:p>
          <w:p w:rsidR="00CB1FA8" w:rsidRPr="007F1AA7" w:rsidRDefault="00CB1FA8" w:rsidP="00A27F0A">
            <w:r w:rsidRPr="007F1AA7">
              <w:t>Haskell et al., ch. 13</w:t>
            </w:r>
            <w:r w:rsidR="00D24E29">
              <w:t xml:space="preserve"> &amp; pp. 434-444</w:t>
            </w:r>
          </w:p>
          <w:p w:rsidR="00CB1FA8" w:rsidRPr="007F1AA7" w:rsidRDefault="00C03260" w:rsidP="00DA67DB">
            <w:r w:rsidRPr="007F1AA7">
              <w:t>Baumgartner et al.</w:t>
            </w:r>
            <w:r w:rsidR="00930D81" w:rsidRPr="007F1AA7">
              <w:t xml:space="preserve"> (BB)</w:t>
            </w:r>
          </w:p>
        </w:tc>
        <w:tc>
          <w:tcPr>
            <w:tcW w:w="2585" w:type="dxa"/>
          </w:tcPr>
          <w:p w:rsidR="00CB1FA8" w:rsidRPr="007F1AA7" w:rsidRDefault="00CB1FA8" w:rsidP="00590B90">
            <w:r w:rsidRPr="007F1AA7">
              <w:t>Discussion leadership</w:t>
            </w:r>
          </w:p>
          <w:p w:rsidR="00CB1FA8" w:rsidRPr="007F1AA7" w:rsidRDefault="00CB1FA8" w:rsidP="00590B90">
            <w:r w:rsidRPr="007F1AA7">
              <w:t xml:space="preserve">Seminar participation </w:t>
            </w:r>
          </w:p>
          <w:p w:rsidR="00CB1FA8" w:rsidRPr="007F1AA7" w:rsidRDefault="00CB1FA8" w:rsidP="00DA67DB">
            <w:r w:rsidRPr="007F1AA7">
              <w:t>Landscape update</w:t>
            </w:r>
            <w:r w:rsidRPr="007F1AA7" w:rsidDel="000E506D">
              <w:t xml:space="preserve"> </w:t>
            </w:r>
          </w:p>
        </w:tc>
      </w:tr>
      <w:tr w:rsidR="00F70A81" w:rsidRPr="007F1AA7" w:rsidTr="000E506D">
        <w:tc>
          <w:tcPr>
            <w:tcW w:w="1054" w:type="dxa"/>
          </w:tcPr>
          <w:p w:rsidR="00CB1FA8" w:rsidRPr="007F1AA7" w:rsidRDefault="00CB1FA8" w:rsidP="00585E9F">
            <w:pPr>
              <w:rPr>
                <w:highlight w:val="yellow"/>
              </w:rPr>
            </w:pPr>
            <w:r w:rsidRPr="007F1AA7">
              <w:t>8</w:t>
            </w:r>
          </w:p>
        </w:tc>
        <w:tc>
          <w:tcPr>
            <w:tcW w:w="1117" w:type="dxa"/>
          </w:tcPr>
          <w:p w:rsidR="00CB1FA8" w:rsidRPr="007F1AA7" w:rsidRDefault="00CB1FA8" w:rsidP="0019757E">
            <w:r w:rsidRPr="007F1AA7">
              <w:t>Oct. 25</w:t>
            </w:r>
          </w:p>
        </w:tc>
        <w:tc>
          <w:tcPr>
            <w:tcW w:w="2176" w:type="dxa"/>
          </w:tcPr>
          <w:p w:rsidR="00CB1FA8" w:rsidRPr="007F1AA7" w:rsidRDefault="00CB1FA8" w:rsidP="0019757E">
            <w:r w:rsidRPr="007F1AA7">
              <w:t xml:space="preserve">Public Opinion, Voting, and Elections </w:t>
            </w:r>
          </w:p>
        </w:tc>
        <w:tc>
          <w:tcPr>
            <w:tcW w:w="2868" w:type="dxa"/>
          </w:tcPr>
          <w:p w:rsidR="00CB1FA8" w:rsidRPr="007F1AA7" w:rsidRDefault="00CB1FA8" w:rsidP="00590B90">
            <w:r w:rsidRPr="007F1AA7">
              <w:t>Taylor et al., ch. 5</w:t>
            </w:r>
          </w:p>
          <w:p w:rsidR="00CB1FA8" w:rsidRPr="007F1AA7" w:rsidRDefault="00CB1FA8" w:rsidP="00D24E29">
            <w:r w:rsidRPr="007F1AA7">
              <w:t>Haskell et al., ch. 4</w:t>
            </w:r>
          </w:p>
        </w:tc>
        <w:tc>
          <w:tcPr>
            <w:tcW w:w="2585" w:type="dxa"/>
          </w:tcPr>
          <w:p w:rsidR="00CB1FA8" w:rsidRPr="007F1AA7" w:rsidRDefault="00CB1FA8" w:rsidP="00590B90">
            <w:r w:rsidRPr="007F1AA7">
              <w:t>Discussion leadership</w:t>
            </w:r>
          </w:p>
          <w:p w:rsidR="00CB1FA8" w:rsidRPr="007F1AA7" w:rsidRDefault="00CB1FA8" w:rsidP="00590B90">
            <w:r w:rsidRPr="007F1AA7">
              <w:t>Seminar participation</w:t>
            </w:r>
          </w:p>
          <w:p w:rsidR="00CB1FA8" w:rsidRPr="007F1AA7" w:rsidRDefault="00CB1FA8" w:rsidP="0019757E">
            <w:r w:rsidRPr="007F1AA7">
              <w:t>Landscape update</w:t>
            </w:r>
          </w:p>
        </w:tc>
      </w:tr>
      <w:tr w:rsidR="00F70A81" w:rsidRPr="007F1AA7" w:rsidTr="000E506D">
        <w:tc>
          <w:tcPr>
            <w:tcW w:w="1054" w:type="dxa"/>
          </w:tcPr>
          <w:p w:rsidR="00CB1FA8" w:rsidRPr="007F1AA7" w:rsidRDefault="00CB1FA8" w:rsidP="00C534D6">
            <w:r w:rsidRPr="007F1AA7">
              <w:t>9</w:t>
            </w:r>
          </w:p>
        </w:tc>
        <w:tc>
          <w:tcPr>
            <w:tcW w:w="1117" w:type="dxa"/>
          </w:tcPr>
          <w:p w:rsidR="00CB1FA8" w:rsidRPr="007F1AA7" w:rsidRDefault="00CB1FA8" w:rsidP="00C534D6">
            <w:r w:rsidRPr="007F1AA7">
              <w:t>Nov. 1</w:t>
            </w:r>
          </w:p>
        </w:tc>
        <w:tc>
          <w:tcPr>
            <w:tcW w:w="2176" w:type="dxa"/>
          </w:tcPr>
          <w:p w:rsidR="00CB1FA8" w:rsidRPr="007F1AA7" w:rsidRDefault="00CB1FA8" w:rsidP="007A3FB3">
            <w:r w:rsidRPr="007F1AA7">
              <w:t>Federalism</w:t>
            </w:r>
          </w:p>
        </w:tc>
        <w:tc>
          <w:tcPr>
            <w:tcW w:w="2868" w:type="dxa"/>
          </w:tcPr>
          <w:p w:rsidR="00CB1FA8" w:rsidRPr="007F1AA7" w:rsidRDefault="00CB1FA8" w:rsidP="00A27F0A">
            <w:r w:rsidRPr="007F1AA7">
              <w:t>Taylor et al., ch. 4</w:t>
            </w:r>
          </w:p>
          <w:p w:rsidR="002F3E92" w:rsidRPr="007F1AA7" w:rsidRDefault="002F3E92">
            <w:r w:rsidRPr="007F1AA7">
              <w:t>Conlan &amp; Posner</w:t>
            </w:r>
            <w:r w:rsidR="00930D81" w:rsidRPr="007F1AA7">
              <w:t xml:space="preserve"> (BB)</w:t>
            </w:r>
          </w:p>
          <w:p w:rsidR="00CB1FA8" w:rsidRPr="007F1AA7" w:rsidRDefault="002F3E92">
            <w:r w:rsidRPr="007F1AA7">
              <w:t>Dinan</w:t>
            </w:r>
            <w:r w:rsidR="00930D81" w:rsidRPr="007F1AA7">
              <w:t xml:space="preserve"> (BB)</w:t>
            </w:r>
          </w:p>
        </w:tc>
        <w:tc>
          <w:tcPr>
            <w:tcW w:w="2585" w:type="dxa"/>
          </w:tcPr>
          <w:p w:rsidR="00CB1FA8" w:rsidRPr="007F1AA7" w:rsidRDefault="00CB1FA8" w:rsidP="00590B90">
            <w:r w:rsidRPr="007F1AA7">
              <w:t>Discussion leadership</w:t>
            </w:r>
          </w:p>
          <w:p w:rsidR="00CB1FA8" w:rsidRPr="007F1AA7" w:rsidRDefault="00CB1FA8" w:rsidP="00590B90">
            <w:r w:rsidRPr="007F1AA7">
              <w:t xml:space="preserve">Seminar participation </w:t>
            </w:r>
          </w:p>
          <w:p w:rsidR="00CB1FA8" w:rsidRPr="007F1AA7" w:rsidRDefault="00CB1FA8" w:rsidP="00DA67DB">
            <w:r w:rsidRPr="007F1AA7">
              <w:t>Landscape update</w:t>
            </w:r>
            <w:r w:rsidRPr="007F1AA7" w:rsidDel="000E506D">
              <w:t xml:space="preserve"> </w:t>
            </w:r>
          </w:p>
        </w:tc>
      </w:tr>
      <w:tr w:rsidR="00F70A81" w:rsidRPr="007F1AA7" w:rsidTr="000E506D">
        <w:tc>
          <w:tcPr>
            <w:tcW w:w="1054" w:type="dxa"/>
          </w:tcPr>
          <w:p w:rsidR="00CB1FA8" w:rsidRPr="007F1AA7" w:rsidRDefault="00CB1FA8" w:rsidP="00C534D6">
            <w:r w:rsidRPr="007F1AA7">
              <w:t>10</w:t>
            </w:r>
          </w:p>
        </w:tc>
        <w:tc>
          <w:tcPr>
            <w:tcW w:w="1117" w:type="dxa"/>
          </w:tcPr>
          <w:p w:rsidR="00CB1FA8" w:rsidRPr="007F1AA7" w:rsidRDefault="00CB1FA8" w:rsidP="00C534D6">
            <w:r w:rsidRPr="007F1AA7">
              <w:t>Nov. 8</w:t>
            </w:r>
          </w:p>
        </w:tc>
        <w:tc>
          <w:tcPr>
            <w:tcW w:w="2176" w:type="dxa"/>
          </w:tcPr>
          <w:p w:rsidR="00CB1FA8" w:rsidRPr="007F1AA7" w:rsidRDefault="00CB1FA8" w:rsidP="00DA67DB">
            <w:r w:rsidRPr="007F1AA7">
              <w:t>Election Night Extravaganza</w:t>
            </w:r>
          </w:p>
        </w:tc>
        <w:tc>
          <w:tcPr>
            <w:tcW w:w="2868" w:type="dxa"/>
          </w:tcPr>
          <w:p w:rsidR="00CB1FA8" w:rsidRPr="007F1AA7" w:rsidRDefault="00CB1FA8" w:rsidP="00DA67DB">
            <w:r w:rsidRPr="007F1AA7">
              <w:t>TBD</w:t>
            </w:r>
          </w:p>
        </w:tc>
        <w:tc>
          <w:tcPr>
            <w:tcW w:w="2585" w:type="dxa"/>
          </w:tcPr>
          <w:p w:rsidR="00CB1FA8" w:rsidRPr="007F1AA7" w:rsidRDefault="00CB1FA8" w:rsidP="00DA67DB">
            <w:r w:rsidRPr="007F1AA7">
              <w:t>TBD</w:t>
            </w:r>
          </w:p>
        </w:tc>
      </w:tr>
      <w:tr w:rsidR="00F70A81" w:rsidRPr="007F1AA7" w:rsidTr="000E506D">
        <w:tc>
          <w:tcPr>
            <w:tcW w:w="1054" w:type="dxa"/>
          </w:tcPr>
          <w:p w:rsidR="00CB1FA8" w:rsidRPr="007F1AA7" w:rsidRDefault="00CB1FA8" w:rsidP="00C534D6">
            <w:r w:rsidRPr="007F1AA7">
              <w:t>11</w:t>
            </w:r>
          </w:p>
        </w:tc>
        <w:tc>
          <w:tcPr>
            <w:tcW w:w="1117" w:type="dxa"/>
          </w:tcPr>
          <w:p w:rsidR="00CB1FA8" w:rsidRPr="007F1AA7" w:rsidRDefault="00CB1FA8" w:rsidP="00E215B8">
            <w:r w:rsidRPr="007F1AA7">
              <w:t>Nov. 15</w:t>
            </w:r>
          </w:p>
        </w:tc>
        <w:tc>
          <w:tcPr>
            <w:tcW w:w="2176" w:type="dxa"/>
          </w:tcPr>
          <w:p w:rsidR="00CB1FA8" w:rsidRPr="007F1AA7" w:rsidRDefault="00CB1FA8">
            <w:r w:rsidRPr="007F1AA7">
              <w:t>The Courts</w:t>
            </w:r>
          </w:p>
        </w:tc>
        <w:tc>
          <w:tcPr>
            <w:tcW w:w="2868" w:type="dxa"/>
          </w:tcPr>
          <w:p w:rsidR="00CB1FA8" w:rsidRPr="007F1AA7" w:rsidRDefault="00CB1FA8" w:rsidP="00590B90">
            <w:r w:rsidRPr="007F1AA7">
              <w:t>Taylor et al., ch. 9</w:t>
            </w:r>
          </w:p>
          <w:p w:rsidR="00CB1FA8" w:rsidRPr="007F1AA7" w:rsidRDefault="00CB1FA8" w:rsidP="00590B90">
            <w:r w:rsidRPr="007F1AA7">
              <w:t>Haskell et al., ch. 12</w:t>
            </w:r>
          </w:p>
          <w:p w:rsidR="00CB1FA8" w:rsidRPr="007F1AA7" w:rsidRDefault="00F70A81" w:rsidP="00FC2278">
            <w:r w:rsidRPr="007F1AA7">
              <w:t>Eskridge</w:t>
            </w:r>
            <w:r w:rsidR="00930D81" w:rsidRPr="007F1AA7">
              <w:rPr>
                <w:rStyle w:val="Hyperlink"/>
                <w:color w:val="auto"/>
              </w:rPr>
              <w:t xml:space="preserve"> </w:t>
            </w:r>
            <w:r w:rsidR="00930D81" w:rsidRPr="007F1AA7">
              <w:t>(BB)</w:t>
            </w:r>
          </w:p>
        </w:tc>
        <w:tc>
          <w:tcPr>
            <w:tcW w:w="2585" w:type="dxa"/>
          </w:tcPr>
          <w:p w:rsidR="00CB1FA8" w:rsidRPr="007F1AA7" w:rsidRDefault="00CB1FA8" w:rsidP="00590B90">
            <w:r w:rsidRPr="007F1AA7">
              <w:t>Discussion leadership</w:t>
            </w:r>
          </w:p>
          <w:p w:rsidR="00CB1FA8" w:rsidRPr="007F1AA7" w:rsidRDefault="00CB1FA8" w:rsidP="00590B90">
            <w:r w:rsidRPr="007F1AA7">
              <w:t xml:space="preserve">Seminar participation </w:t>
            </w:r>
          </w:p>
          <w:p w:rsidR="00CB1FA8" w:rsidRPr="007F1AA7" w:rsidRDefault="00CB1FA8" w:rsidP="0078100D">
            <w:r w:rsidRPr="007F1AA7">
              <w:t>Landscape update</w:t>
            </w:r>
          </w:p>
        </w:tc>
      </w:tr>
      <w:tr w:rsidR="00F70A81" w:rsidRPr="007F1AA7" w:rsidTr="000E506D">
        <w:tc>
          <w:tcPr>
            <w:tcW w:w="1054" w:type="dxa"/>
          </w:tcPr>
          <w:p w:rsidR="00CB1FA8" w:rsidRPr="007F1AA7" w:rsidRDefault="00CB1FA8" w:rsidP="00C534D6">
            <w:r w:rsidRPr="007F1AA7">
              <w:t>12</w:t>
            </w:r>
          </w:p>
        </w:tc>
        <w:tc>
          <w:tcPr>
            <w:tcW w:w="1117" w:type="dxa"/>
          </w:tcPr>
          <w:p w:rsidR="00CB1FA8" w:rsidRPr="007F1AA7" w:rsidRDefault="00CB1FA8" w:rsidP="00C534D6">
            <w:r w:rsidRPr="007F1AA7">
              <w:t>Nov. 22</w:t>
            </w:r>
          </w:p>
        </w:tc>
        <w:tc>
          <w:tcPr>
            <w:tcW w:w="2176" w:type="dxa"/>
          </w:tcPr>
          <w:p w:rsidR="00CB1FA8" w:rsidRPr="007F1AA7" w:rsidRDefault="00CB1FA8" w:rsidP="004C303D">
            <w:r w:rsidRPr="007F1AA7">
              <w:t>American Exceptionalism?</w:t>
            </w:r>
          </w:p>
        </w:tc>
        <w:tc>
          <w:tcPr>
            <w:tcW w:w="2868" w:type="dxa"/>
          </w:tcPr>
          <w:p w:rsidR="00CB1FA8" w:rsidRPr="007F1AA7" w:rsidRDefault="00CB1FA8" w:rsidP="00337217">
            <w:r w:rsidRPr="007F1AA7">
              <w:t>Taylor et al., ch. 10</w:t>
            </w:r>
          </w:p>
          <w:p w:rsidR="00CB1FA8" w:rsidRPr="007F1AA7" w:rsidRDefault="00CB1FA8" w:rsidP="00FC2278"/>
        </w:tc>
        <w:tc>
          <w:tcPr>
            <w:tcW w:w="2585" w:type="dxa"/>
          </w:tcPr>
          <w:p w:rsidR="00CB1FA8" w:rsidRPr="007F1AA7" w:rsidRDefault="00CB1FA8" w:rsidP="0078100D">
            <w:r w:rsidRPr="007F1AA7">
              <w:t>Seminar participation</w:t>
            </w:r>
          </w:p>
          <w:p w:rsidR="00CB1FA8" w:rsidRPr="007F1AA7" w:rsidRDefault="00CB1FA8" w:rsidP="0078100D">
            <w:r w:rsidRPr="007F1AA7">
              <w:t xml:space="preserve">Landscape update </w:t>
            </w:r>
          </w:p>
          <w:p w:rsidR="00CB1FA8" w:rsidRPr="007F1AA7" w:rsidRDefault="00CB1FA8">
            <w:r w:rsidRPr="007F1AA7">
              <w:t>Memo due.</w:t>
            </w:r>
          </w:p>
        </w:tc>
      </w:tr>
      <w:tr w:rsidR="00F70A81" w:rsidRPr="007F1AA7" w:rsidTr="000E506D">
        <w:tc>
          <w:tcPr>
            <w:tcW w:w="1054" w:type="dxa"/>
          </w:tcPr>
          <w:p w:rsidR="00CB1FA8" w:rsidRPr="007F1AA7" w:rsidRDefault="00CB1FA8" w:rsidP="00C534D6">
            <w:r w:rsidRPr="007F1AA7">
              <w:t>13</w:t>
            </w:r>
          </w:p>
        </w:tc>
        <w:tc>
          <w:tcPr>
            <w:tcW w:w="1117" w:type="dxa"/>
          </w:tcPr>
          <w:p w:rsidR="00CB1FA8" w:rsidRPr="007F1AA7" w:rsidRDefault="00CB1FA8" w:rsidP="00C534D6">
            <w:r w:rsidRPr="007F1AA7">
              <w:t>Nov. 29</w:t>
            </w:r>
          </w:p>
        </w:tc>
        <w:tc>
          <w:tcPr>
            <w:tcW w:w="2176" w:type="dxa"/>
          </w:tcPr>
          <w:p w:rsidR="00CB1FA8" w:rsidRPr="007F1AA7" w:rsidRDefault="00CB1FA8" w:rsidP="00D24E29">
            <w:r w:rsidRPr="007F1AA7">
              <w:t>Reform 1</w:t>
            </w:r>
          </w:p>
        </w:tc>
        <w:tc>
          <w:tcPr>
            <w:tcW w:w="2868" w:type="dxa"/>
          </w:tcPr>
          <w:p w:rsidR="00CB1FA8" w:rsidRPr="007F1AA7" w:rsidRDefault="00CB1FA8" w:rsidP="00467831">
            <w:r w:rsidRPr="007F1AA7">
              <w:t>Haskell et al., ch. 14</w:t>
            </w:r>
          </w:p>
          <w:p w:rsidR="00CB1FA8" w:rsidRPr="007F1AA7" w:rsidRDefault="00CB1FA8" w:rsidP="00337217">
            <w:r w:rsidRPr="007F1AA7">
              <w:t>Guest speaker TBD</w:t>
            </w:r>
          </w:p>
        </w:tc>
        <w:tc>
          <w:tcPr>
            <w:tcW w:w="2585" w:type="dxa"/>
          </w:tcPr>
          <w:p w:rsidR="00CB1FA8" w:rsidRPr="007F1AA7" w:rsidRDefault="00CB1FA8" w:rsidP="0078100D">
            <w:r w:rsidRPr="007F1AA7">
              <w:t xml:space="preserve">Seminar participation </w:t>
            </w:r>
          </w:p>
          <w:p w:rsidR="00CB1FA8" w:rsidRPr="007F1AA7" w:rsidRDefault="00CB1FA8" w:rsidP="00C534D6"/>
        </w:tc>
      </w:tr>
      <w:tr w:rsidR="00F70A81" w:rsidRPr="007F1AA7" w:rsidTr="000E506D">
        <w:tc>
          <w:tcPr>
            <w:tcW w:w="1054" w:type="dxa"/>
          </w:tcPr>
          <w:p w:rsidR="00CB1FA8" w:rsidRPr="007F1AA7" w:rsidRDefault="00CB1FA8" w:rsidP="00C534D6">
            <w:r w:rsidRPr="007F1AA7">
              <w:t>14</w:t>
            </w:r>
          </w:p>
        </w:tc>
        <w:tc>
          <w:tcPr>
            <w:tcW w:w="1117" w:type="dxa"/>
          </w:tcPr>
          <w:p w:rsidR="00CB1FA8" w:rsidRPr="007F1AA7" w:rsidRDefault="00CB1FA8" w:rsidP="00C534D6">
            <w:r w:rsidRPr="007F1AA7">
              <w:t>Dec. 6</w:t>
            </w:r>
          </w:p>
        </w:tc>
        <w:tc>
          <w:tcPr>
            <w:tcW w:w="2176" w:type="dxa"/>
          </w:tcPr>
          <w:p w:rsidR="00CB1FA8" w:rsidRPr="007F1AA7" w:rsidRDefault="00CB1FA8" w:rsidP="00D24E29">
            <w:r w:rsidRPr="007F1AA7">
              <w:t>Reform 2</w:t>
            </w:r>
          </w:p>
        </w:tc>
        <w:tc>
          <w:tcPr>
            <w:tcW w:w="2868" w:type="dxa"/>
          </w:tcPr>
          <w:p w:rsidR="00CB1FA8" w:rsidRPr="007F1AA7" w:rsidRDefault="00CB1FA8" w:rsidP="008C3B35">
            <w:r w:rsidRPr="007F1AA7">
              <w:t>Guest speaker TBD</w:t>
            </w:r>
          </w:p>
        </w:tc>
        <w:tc>
          <w:tcPr>
            <w:tcW w:w="2585" w:type="dxa"/>
          </w:tcPr>
          <w:p w:rsidR="00CB1FA8" w:rsidRPr="007F1AA7" w:rsidRDefault="00CB1FA8" w:rsidP="00D24E29">
            <w:r w:rsidRPr="007F1AA7">
              <w:t>Seminar participation</w:t>
            </w:r>
          </w:p>
        </w:tc>
      </w:tr>
    </w:tbl>
    <w:p w:rsidR="00DA27BC" w:rsidRPr="007F1AA7" w:rsidRDefault="00DA27BC" w:rsidP="007F1AA7">
      <w:pPr>
        <w:jc w:val="center"/>
        <w:rPr>
          <w:bCs/>
          <w:iCs/>
        </w:rPr>
      </w:pPr>
      <w:bookmarkStart w:id="0" w:name="_Toc395690613"/>
      <w:r w:rsidRPr="007F1AA7">
        <w:rPr>
          <w:b/>
          <w:bCs/>
          <w:iCs/>
        </w:rPr>
        <w:lastRenderedPageBreak/>
        <w:t>Additional Readings</w:t>
      </w:r>
    </w:p>
    <w:p w:rsidR="00F012BB" w:rsidRPr="007F1AA7" w:rsidRDefault="00F012BB" w:rsidP="00DA27BC">
      <w:pPr>
        <w:rPr>
          <w:bCs/>
          <w:iCs/>
        </w:rPr>
      </w:pPr>
    </w:p>
    <w:p w:rsidR="00DA27BC" w:rsidRPr="007F1AA7" w:rsidRDefault="00DA27BC" w:rsidP="00DA27BC">
      <w:pPr>
        <w:rPr>
          <w:bCs/>
          <w:iCs/>
        </w:rPr>
      </w:pPr>
      <w:r w:rsidRPr="007F1AA7">
        <w:rPr>
          <w:bCs/>
          <w:iCs/>
        </w:rPr>
        <w:t xml:space="preserve">Class 3:  </w:t>
      </w:r>
    </w:p>
    <w:p w:rsidR="00DA27BC" w:rsidRPr="007F1AA7" w:rsidRDefault="00DA27BC" w:rsidP="00DA27BC">
      <w:pPr>
        <w:pStyle w:val="ListParagraph"/>
        <w:numPr>
          <w:ilvl w:val="0"/>
          <w:numId w:val="5"/>
        </w:numPr>
        <w:rPr>
          <w:bCs/>
          <w:iCs/>
        </w:rPr>
      </w:pPr>
      <w:r w:rsidRPr="007F1AA7">
        <w:rPr>
          <w:bCs/>
          <w:iCs/>
        </w:rPr>
        <w:t>Ezra Klein, “</w:t>
      </w:r>
      <w:hyperlink r:id="rId10" w:history="1">
        <w:r w:rsidR="001107FE" w:rsidRPr="007F1AA7">
          <w:rPr>
            <w:rStyle w:val="Hyperlink"/>
            <w:bCs/>
            <w:iCs/>
            <w:color w:val="auto"/>
          </w:rPr>
          <w:t>The Unpersuaded: Who L</w:t>
        </w:r>
        <w:r w:rsidRPr="007F1AA7">
          <w:rPr>
            <w:rStyle w:val="Hyperlink"/>
            <w:bCs/>
            <w:iCs/>
            <w:color w:val="auto"/>
          </w:rPr>
          <w:t>istens to a President</w:t>
        </w:r>
      </w:hyperlink>
      <w:r w:rsidRPr="007F1AA7">
        <w:rPr>
          <w:bCs/>
          <w:iCs/>
        </w:rPr>
        <w:t xml:space="preserve">?,” </w:t>
      </w:r>
      <w:r w:rsidRPr="007F1AA7">
        <w:rPr>
          <w:bCs/>
          <w:i/>
          <w:iCs/>
        </w:rPr>
        <w:t>New Yorker</w:t>
      </w:r>
      <w:r w:rsidRPr="007F1AA7">
        <w:rPr>
          <w:bCs/>
          <w:iCs/>
        </w:rPr>
        <w:t xml:space="preserve"> (March 19, 2012).</w:t>
      </w:r>
    </w:p>
    <w:p w:rsidR="00CB1FA8" w:rsidRPr="007F1AA7" w:rsidRDefault="00CB1FA8" w:rsidP="007F1AA7">
      <w:pPr>
        <w:rPr>
          <w:bCs/>
          <w:iCs/>
        </w:rPr>
      </w:pPr>
    </w:p>
    <w:p w:rsidR="00CB1FA8" w:rsidRPr="007F1AA7" w:rsidRDefault="00CB1FA8" w:rsidP="007F1AA7">
      <w:pPr>
        <w:rPr>
          <w:bCs/>
          <w:iCs/>
        </w:rPr>
      </w:pPr>
      <w:r w:rsidRPr="007F1AA7">
        <w:rPr>
          <w:bCs/>
          <w:iCs/>
        </w:rPr>
        <w:t>Class 4:</w:t>
      </w:r>
    </w:p>
    <w:p w:rsidR="00CB1FA8" w:rsidRPr="007F1AA7" w:rsidRDefault="00AC4D78" w:rsidP="007F1AA7">
      <w:pPr>
        <w:pStyle w:val="ListParagraph"/>
        <w:numPr>
          <w:ilvl w:val="0"/>
          <w:numId w:val="5"/>
        </w:numPr>
      </w:pPr>
      <w:r w:rsidRPr="007F1AA7">
        <w:t xml:space="preserve">Allen </w:t>
      </w:r>
      <w:r w:rsidR="00CB1FA8" w:rsidRPr="007F1AA7">
        <w:t xml:space="preserve">Schick, </w:t>
      </w:r>
      <w:r w:rsidRPr="007F1AA7">
        <w:rPr>
          <w:i/>
        </w:rPr>
        <w:t xml:space="preserve">The Federal Budget:  Politics, Policy, Process </w:t>
      </w:r>
      <w:r w:rsidRPr="007F1AA7">
        <w:t xml:space="preserve">(Brookings, 2007), </w:t>
      </w:r>
      <w:r w:rsidR="00CB1FA8" w:rsidRPr="007F1AA7">
        <w:t>ch. 5</w:t>
      </w:r>
      <w:r w:rsidRPr="007F1AA7">
        <w:t xml:space="preserve"> (pp. 84-117)  [Blackboard]</w:t>
      </w:r>
    </w:p>
    <w:p w:rsidR="00CB1FA8" w:rsidRPr="007F1AA7" w:rsidRDefault="00AC4D78">
      <w:pPr>
        <w:pStyle w:val="ListParagraph"/>
        <w:numPr>
          <w:ilvl w:val="0"/>
          <w:numId w:val="5"/>
        </w:numPr>
      </w:pPr>
      <w:r w:rsidRPr="007F1AA7">
        <w:t xml:space="preserve">Richard E. </w:t>
      </w:r>
      <w:r w:rsidR="00CB1FA8" w:rsidRPr="007F1AA7">
        <w:t xml:space="preserve">Neustadt and </w:t>
      </w:r>
      <w:r w:rsidRPr="007F1AA7">
        <w:t xml:space="preserve">Ernest R. </w:t>
      </w:r>
      <w:r w:rsidR="00CB1FA8" w:rsidRPr="007F1AA7">
        <w:t>May,</w:t>
      </w:r>
      <w:r w:rsidRPr="007F1AA7">
        <w:t xml:space="preserve"> </w:t>
      </w:r>
      <w:r w:rsidRPr="007F1AA7">
        <w:rPr>
          <w:i/>
        </w:rPr>
        <w:t xml:space="preserve">Thinking in Time:  The Uses of History for Decision Makers </w:t>
      </w:r>
      <w:r w:rsidRPr="007F1AA7">
        <w:t>(Free Press, 1988),</w:t>
      </w:r>
      <w:r w:rsidR="00CB1FA8" w:rsidRPr="007F1AA7">
        <w:t xml:space="preserve"> pp. 157-167 &amp; 212-219.</w:t>
      </w:r>
      <w:r w:rsidRPr="007F1AA7">
        <w:t xml:space="preserve">  [Blackboard]</w:t>
      </w:r>
    </w:p>
    <w:p w:rsidR="00CB1FA8" w:rsidRPr="007F1AA7" w:rsidRDefault="00CB1FA8" w:rsidP="007F1AA7"/>
    <w:p w:rsidR="00CB1FA8" w:rsidRPr="007F1AA7" w:rsidRDefault="00CB1FA8" w:rsidP="007F1AA7">
      <w:r w:rsidRPr="007F1AA7">
        <w:t>Class 5:</w:t>
      </w:r>
    </w:p>
    <w:p w:rsidR="00BE35E8" w:rsidRPr="007F1AA7" w:rsidRDefault="00BE35E8" w:rsidP="00BE35E8">
      <w:pPr>
        <w:pStyle w:val="ListParagraph"/>
        <w:numPr>
          <w:ilvl w:val="0"/>
          <w:numId w:val="8"/>
        </w:numPr>
      </w:pPr>
      <w:r w:rsidRPr="007F1AA7">
        <w:t xml:space="preserve">Richard S. Katz, </w:t>
      </w:r>
      <w:r w:rsidRPr="007F1AA7">
        <w:rPr>
          <w:i/>
        </w:rPr>
        <w:t>Political Institutions in the United States</w:t>
      </w:r>
      <w:r w:rsidRPr="007F1AA7">
        <w:t xml:space="preserve"> (Oxford, 2007), ch. 7 (pp. 169-194). [Blackboard]</w:t>
      </w:r>
    </w:p>
    <w:p w:rsidR="00101A83" w:rsidRPr="007F1AA7" w:rsidRDefault="00AC4D78" w:rsidP="007F1AA7">
      <w:pPr>
        <w:pStyle w:val="ListParagraph"/>
        <w:numPr>
          <w:ilvl w:val="0"/>
          <w:numId w:val="8"/>
        </w:numPr>
        <w:rPr>
          <w:b/>
        </w:rPr>
      </w:pPr>
      <w:r w:rsidRPr="007F1AA7">
        <w:t xml:space="preserve">Suzanne Mettler, “The Policyscape and the Challenges of Contemporary Politics to Policy Maintenance,” </w:t>
      </w:r>
      <w:r w:rsidRPr="007F1AA7">
        <w:rPr>
          <w:i/>
        </w:rPr>
        <w:t>Perspectives on Politics</w:t>
      </w:r>
      <w:r w:rsidRPr="007F1AA7">
        <w:t>, vol. 14, no. 2, June 2016, pp. 369-391</w:t>
      </w:r>
      <w:r w:rsidR="00930D81" w:rsidRPr="007F1AA7">
        <w:t xml:space="preserve">, </w:t>
      </w:r>
      <w:r w:rsidR="00F70A81" w:rsidRPr="007F1AA7">
        <w:rPr>
          <w:i/>
          <w:u w:val="single"/>
        </w:rPr>
        <w:t>only</w:t>
      </w:r>
      <w:r w:rsidR="00930D81" w:rsidRPr="007F1AA7">
        <w:rPr>
          <w:i/>
          <w:u w:val="single"/>
        </w:rPr>
        <w:t xml:space="preserve"> pp. 369-378 </w:t>
      </w:r>
      <w:r w:rsidR="00F70A81" w:rsidRPr="007F1AA7">
        <w:rPr>
          <w:i/>
          <w:u w:val="single"/>
        </w:rPr>
        <w:t>assigned</w:t>
      </w:r>
      <w:r w:rsidRPr="007F1AA7">
        <w:t>.</w:t>
      </w:r>
      <w:r w:rsidRPr="007F1AA7">
        <w:rPr>
          <w:b/>
        </w:rPr>
        <w:t xml:space="preserve"> </w:t>
      </w:r>
      <w:r w:rsidRPr="007F1AA7">
        <w:t>[Blackboard]</w:t>
      </w:r>
    </w:p>
    <w:p w:rsidR="00C03260" w:rsidRPr="007F1AA7" w:rsidRDefault="00C03260"/>
    <w:p w:rsidR="001F6362" w:rsidRPr="007F1AA7" w:rsidRDefault="001F6362" w:rsidP="001F6362">
      <w:pPr>
        <w:rPr>
          <w:bCs/>
          <w:iCs/>
        </w:rPr>
      </w:pPr>
      <w:r w:rsidRPr="007F1AA7">
        <w:rPr>
          <w:bCs/>
          <w:iCs/>
        </w:rPr>
        <w:t>Class 6:</w:t>
      </w:r>
    </w:p>
    <w:p w:rsidR="00BE35E8" w:rsidRPr="007F1AA7" w:rsidRDefault="00BE35E8" w:rsidP="00BE35E8">
      <w:pPr>
        <w:pStyle w:val="ListParagraph"/>
        <w:numPr>
          <w:ilvl w:val="0"/>
          <w:numId w:val="6"/>
        </w:numPr>
        <w:rPr>
          <w:bCs/>
          <w:iCs/>
        </w:rPr>
      </w:pPr>
      <w:bookmarkStart w:id="1" w:name="_GoBack"/>
      <w:r w:rsidRPr="007F1AA7">
        <w:t xml:space="preserve">David Auerswald, “The Evolution of the NSC Process,” in Roger Z. George and Harvey Rishikof, eds., </w:t>
      </w:r>
      <w:r w:rsidRPr="007F1AA7">
        <w:rPr>
          <w:i/>
        </w:rPr>
        <w:t>The National Security Enterprise : Navigating the Labyrinth</w:t>
      </w:r>
      <w:r w:rsidRPr="007F1AA7">
        <w:t xml:space="preserve"> (Georgetown University Press, 2011), pp. 31-54. [Blackboard]</w:t>
      </w:r>
    </w:p>
    <w:bookmarkEnd w:id="1"/>
    <w:p w:rsidR="009A5FB5" w:rsidRPr="007F1AA7" w:rsidRDefault="009A5FB5" w:rsidP="009A5FB5">
      <w:pPr>
        <w:pStyle w:val="ListParagraph"/>
        <w:numPr>
          <w:ilvl w:val="0"/>
          <w:numId w:val="6"/>
        </w:numPr>
        <w:rPr>
          <w:bCs/>
          <w:iCs/>
        </w:rPr>
      </w:pPr>
      <w:r w:rsidRPr="007F1AA7">
        <w:rPr>
          <w:bCs/>
          <w:iCs/>
        </w:rPr>
        <w:t>Stephen M. Griffin, “The Tragic Pattern of the War Power: Presidential Decisions for War since 1945” paper prepared for the 2012 American Political Science Association annual meeting.</w:t>
      </w:r>
      <w:r w:rsidRPr="007F1AA7">
        <w:t xml:space="preserve"> [Blackboard]</w:t>
      </w:r>
    </w:p>
    <w:p w:rsidR="001F6362" w:rsidRPr="007F1AA7" w:rsidRDefault="001F6362" w:rsidP="001F6362">
      <w:pPr>
        <w:rPr>
          <w:bCs/>
          <w:iCs/>
        </w:rPr>
      </w:pPr>
    </w:p>
    <w:p w:rsidR="00C03260" w:rsidRPr="007F1AA7" w:rsidRDefault="00C03260">
      <w:r w:rsidRPr="007F1AA7">
        <w:t>Class 7:</w:t>
      </w:r>
    </w:p>
    <w:p w:rsidR="00C03260" w:rsidRPr="007F1AA7" w:rsidRDefault="00C03260" w:rsidP="007F1AA7">
      <w:pPr>
        <w:pStyle w:val="ListParagraph"/>
        <w:numPr>
          <w:ilvl w:val="0"/>
          <w:numId w:val="8"/>
        </w:numPr>
      </w:pPr>
      <w:r w:rsidRPr="007F1AA7">
        <w:t xml:space="preserve">Frank R. Baumgartner, Jeffrey M. Berry, Marie Hojnacki, David C. Kimball, and Beth L. Leech, “Money, Priorities, and Stalemate:  How Lobbying Affects Public Policy,” </w:t>
      </w:r>
      <w:r w:rsidRPr="007F1AA7">
        <w:rPr>
          <w:i/>
        </w:rPr>
        <w:t xml:space="preserve">Election Law Journal </w:t>
      </w:r>
      <w:r w:rsidRPr="007F1AA7">
        <w:t>13:194-209 (2014).</w:t>
      </w:r>
      <w:r w:rsidR="00101A83" w:rsidRPr="007F1AA7">
        <w:t xml:space="preserve">  [Blackboard]</w:t>
      </w:r>
    </w:p>
    <w:p w:rsidR="00AC4D78" w:rsidRPr="007F1AA7" w:rsidRDefault="00AC4D78" w:rsidP="00AC4D78"/>
    <w:p w:rsidR="009E1688" w:rsidRPr="007F1AA7" w:rsidRDefault="00392F85" w:rsidP="00DA27BC">
      <w:pPr>
        <w:rPr>
          <w:bCs/>
          <w:iCs/>
        </w:rPr>
      </w:pPr>
      <w:r w:rsidRPr="007F1AA7">
        <w:rPr>
          <w:bCs/>
          <w:iCs/>
        </w:rPr>
        <w:t>Cla</w:t>
      </w:r>
      <w:r w:rsidR="004B793B" w:rsidRPr="007F1AA7">
        <w:rPr>
          <w:bCs/>
          <w:iCs/>
        </w:rPr>
        <w:t xml:space="preserve">ss </w:t>
      </w:r>
      <w:r w:rsidR="00101A83" w:rsidRPr="007F1AA7">
        <w:rPr>
          <w:bCs/>
          <w:iCs/>
        </w:rPr>
        <w:t>9</w:t>
      </w:r>
      <w:r w:rsidRPr="007F1AA7">
        <w:rPr>
          <w:bCs/>
          <w:iCs/>
        </w:rPr>
        <w:t>:</w:t>
      </w:r>
    </w:p>
    <w:p w:rsidR="002F3E92" w:rsidRPr="007F1AA7" w:rsidRDefault="009E1688" w:rsidP="004965B3">
      <w:pPr>
        <w:pStyle w:val="ListParagraph"/>
        <w:numPr>
          <w:ilvl w:val="0"/>
          <w:numId w:val="5"/>
        </w:numPr>
        <w:rPr>
          <w:bCs/>
          <w:iCs/>
        </w:rPr>
      </w:pPr>
      <w:r w:rsidRPr="007F1AA7">
        <w:rPr>
          <w:bCs/>
          <w:iCs/>
        </w:rPr>
        <w:t>Timothy J. Conlan and Paul L. Posner, “American Federalism in an Era of Partisan Polarization: The Intergovernmental Paradox of Obama’s “New Nationalism”</w:t>
      </w:r>
      <w:r w:rsidR="002F3E92" w:rsidRPr="007F1AA7">
        <w:rPr>
          <w:bCs/>
          <w:iCs/>
        </w:rPr>
        <w:t xml:space="preserve">,” </w:t>
      </w:r>
      <w:r w:rsidRPr="007F1AA7">
        <w:rPr>
          <w:bCs/>
          <w:i/>
          <w:iCs/>
        </w:rPr>
        <w:t>Publius</w:t>
      </w:r>
      <w:r w:rsidRPr="007F1AA7">
        <w:rPr>
          <w:bCs/>
          <w:iCs/>
        </w:rPr>
        <w:t xml:space="preserve"> 46:281-307</w:t>
      </w:r>
      <w:r w:rsidR="002F3E92" w:rsidRPr="007F1AA7">
        <w:rPr>
          <w:bCs/>
          <w:iCs/>
        </w:rPr>
        <w:t xml:space="preserve"> (2016).</w:t>
      </w:r>
      <w:r w:rsidR="00F70A81" w:rsidRPr="00F70A81">
        <w:t xml:space="preserve"> </w:t>
      </w:r>
      <w:r w:rsidR="00F70A81" w:rsidRPr="00065EEB">
        <w:t>[Blackboard]</w:t>
      </w:r>
    </w:p>
    <w:p w:rsidR="004965B3" w:rsidRPr="007F1AA7" w:rsidRDefault="00F012BB">
      <w:pPr>
        <w:pStyle w:val="ListParagraph"/>
        <w:numPr>
          <w:ilvl w:val="0"/>
          <w:numId w:val="5"/>
        </w:numPr>
        <w:rPr>
          <w:bCs/>
          <w:iCs/>
        </w:rPr>
      </w:pPr>
      <w:r w:rsidRPr="007F1AA7">
        <w:rPr>
          <w:bCs/>
          <w:iCs/>
        </w:rPr>
        <w:t xml:space="preserve">John Dinan, “Implementing Health Reform: Intergovernmental Bargaining and the Affordable Care Act,” </w:t>
      </w:r>
      <w:r w:rsidR="002F3E92" w:rsidRPr="007F1AA7">
        <w:rPr>
          <w:bCs/>
          <w:i/>
          <w:iCs/>
        </w:rPr>
        <w:t>Publius</w:t>
      </w:r>
      <w:r w:rsidRPr="007F1AA7">
        <w:rPr>
          <w:bCs/>
          <w:i/>
          <w:iCs/>
        </w:rPr>
        <w:t xml:space="preserve"> </w:t>
      </w:r>
      <w:r w:rsidR="002F3E92" w:rsidRPr="007F1AA7">
        <w:rPr>
          <w:bCs/>
          <w:iCs/>
        </w:rPr>
        <w:t>44</w:t>
      </w:r>
      <w:r w:rsidRPr="007F1AA7">
        <w:rPr>
          <w:bCs/>
          <w:iCs/>
        </w:rPr>
        <w:t>:399-425 (2014).</w:t>
      </w:r>
      <w:r w:rsidR="00F70A81" w:rsidRPr="007F1AA7">
        <w:rPr>
          <w:bCs/>
          <w:iCs/>
        </w:rPr>
        <w:t xml:space="preserve">   </w:t>
      </w:r>
      <w:r w:rsidR="00F70A81" w:rsidRPr="00065EEB">
        <w:t>[Blackboard]</w:t>
      </w:r>
    </w:p>
    <w:p w:rsidR="00E57B17" w:rsidRPr="007F1AA7" w:rsidRDefault="00E57B17" w:rsidP="00E57B17">
      <w:pPr>
        <w:rPr>
          <w:bCs/>
          <w:iCs/>
        </w:rPr>
      </w:pPr>
    </w:p>
    <w:p w:rsidR="004B793B" w:rsidRPr="007F1AA7" w:rsidRDefault="004B793B" w:rsidP="004B793B">
      <w:pPr>
        <w:rPr>
          <w:bCs/>
          <w:iCs/>
        </w:rPr>
      </w:pPr>
      <w:r w:rsidRPr="007F1AA7">
        <w:rPr>
          <w:bCs/>
          <w:iCs/>
        </w:rPr>
        <w:t xml:space="preserve">Class </w:t>
      </w:r>
      <w:r w:rsidR="00AC4D78" w:rsidRPr="007F1AA7">
        <w:rPr>
          <w:bCs/>
          <w:iCs/>
        </w:rPr>
        <w:t>11</w:t>
      </w:r>
      <w:r w:rsidRPr="007F1AA7">
        <w:rPr>
          <w:bCs/>
          <w:iCs/>
        </w:rPr>
        <w:t>:</w:t>
      </w:r>
    </w:p>
    <w:p w:rsidR="004B793B" w:rsidRPr="007F1AA7" w:rsidRDefault="004B793B" w:rsidP="007F1AA7">
      <w:pPr>
        <w:pStyle w:val="ListParagraph"/>
        <w:numPr>
          <w:ilvl w:val="0"/>
          <w:numId w:val="5"/>
        </w:numPr>
        <w:rPr>
          <w:bCs/>
          <w:iCs/>
        </w:rPr>
      </w:pPr>
      <w:r w:rsidRPr="007F1AA7">
        <w:rPr>
          <w:bCs/>
          <w:iCs/>
        </w:rPr>
        <w:t>William N.Eskridge Jr, "</w:t>
      </w:r>
      <w:r w:rsidR="00F70A81" w:rsidRPr="007F1AA7">
        <w:rPr>
          <w:bCs/>
          <w:iCs/>
        </w:rPr>
        <w:t>Backlash Politics: How Constitutional Litigation Has Advanced Marriage Equality in the United States</w:t>
      </w:r>
      <w:r w:rsidRPr="007F1AA7">
        <w:rPr>
          <w:bCs/>
          <w:iCs/>
        </w:rPr>
        <w:t>," Boston University Law Review 93:275-323 (2013).</w:t>
      </w:r>
      <w:r w:rsidR="00F70A81">
        <w:rPr>
          <w:bCs/>
          <w:iCs/>
        </w:rPr>
        <w:t xml:space="preserve"> </w:t>
      </w:r>
      <w:r w:rsidR="00F70A81" w:rsidRPr="00065EEB">
        <w:t>[Blackboard]</w:t>
      </w:r>
    </w:p>
    <w:p w:rsidR="00167921" w:rsidRPr="007F1AA7" w:rsidRDefault="00167921" w:rsidP="00167921"/>
    <w:p w:rsidR="00BA5E30" w:rsidRPr="007F1AA7" w:rsidRDefault="00BA5E30" w:rsidP="00BA5E30">
      <w:pPr>
        <w:rPr>
          <w:bCs/>
          <w:iCs/>
        </w:rPr>
      </w:pPr>
    </w:p>
    <w:p w:rsidR="00DA27BC" w:rsidRPr="007F1AA7" w:rsidRDefault="00DA27BC" w:rsidP="00DA27BC">
      <w:pPr>
        <w:rPr>
          <w:b/>
          <w:bCs/>
          <w:i/>
          <w:iCs/>
        </w:rPr>
      </w:pPr>
    </w:p>
    <w:p w:rsidR="00C534D6" w:rsidRPr="007F1AA7" w:rsidRDefault="00C534D6" w:rsidP="00C534D6">
      <w:pPr>
        <w:pStyle w:val="Heading2"/>
        <w:rPr>
          <w:rFonts w:ascii="Times New Roman" w:eastAsia="Times New Roman" w:hAnsi="Times New Roman" w:cs="Times New Roman"/>
          <w:sz w:val="24"/>
          <w:szCs w:val="24"/>
        </w:rPr>
      </w:pPr>
      <w:r w:rsidRPr="007F1AA7">
        <w:rPr>
          <w:rFonts w:ascii="Times New Roman" w:eastAsia="Times New Roman" w:hAnsi="Times New Roman" w:cs="Times New Roman"/>
          <w:sz w:val="24"/>
          <w:szCs w:val="24"/>
        </w:rPr>
        <w:lastRenderedPageBreak/>
        <w:t>S</w:t>
      </w:r>
      <w:r w:rsidR="009676B2" w:rsidRPr="007F1AA7">
        <w:rPr>
          <w:rFonts w:ascii="Times New Roman" w:eastAsia="Times New Roman" w:hAnsi="Times New Roman" w:cs="Times New Roman"/>
          <w:sz w:val="24"/>
          <w:szCs w:val="24"/>
        </w:rPr>
        <w:t>char School</w:t>
      </w:r>
      <w:r w:rsidRPr="007F1AA7">
        <w:rPr>
          <w:rFonts w:ascii="Times New Roman" w:eastAsia="Times New Roman" w:hAnsi="Times New Roman" w:cs="Times New Roman"/>
          <w:sz w:val="24"/>
          <w:szCs w:val="24"/>
        </w:rPr>
        <w:t xml:space="preserve"> Policy on Plagiarism</w:t>
      </w:r>
      <w:bookmarkEnd w:id="0"/>
    </w:p>
    <w:p w:rsidR="00C534D6" w:rsidRPr="007F1AA7" w:rsidRDefault="00C534D6" w:rsidP="00C534D6">
      <w:pPr>
        <w:rPr>
          <w:rFonts w:eastAsiaTheme="minorHAnsi"/>
        </w:rPr>
      </w:pPr>
      <w:r w:rsidRPr="007F1AA7">
        <w:t>The profession of scholarship and the intellectual life of a university, as well as the field of public policy inquiry, depend fundamentally on a foundation of trust. Thus, any act of plagiarism strikes at the heart of the meaning of the University and the purpose of the School of Policy, Government and International Affairs. It constitutes a serious breach of professional ethics and it is unacceptable. Plagiarism is the use of another’s words or ideas presented as one’s own. It includes, among other things, the use of specific words, ideas, or frameworks that are the product of another’s work. Honesty and thoroughness in citing sources is essential to professional accountability and personal responsibility. Appropriate citation is necessary so that arguments, evidence, and claims can be critically examined.</w:t>
      </w:r>
    </w:p>
    <w:p w:rsidR="00C534D6" w:rsidRPr="007F1AA7" w:rsidRDefault="00C534D6" w:rsidP="00C534D6"/>
    <w:p w:rsidR="00C534D6" w:rsidRPr="007F1AA7" w:rsidRDefault="00C534D6" w:rsidP="00C534D6">
      <w:r w:rsidRPr="007F1AA7">
        <w:t>Plagiarism is wrong because of the injustice it does to the person whose ideas are stolen. It is also wrong because it constitutes lying to one’s professional colleagues. From a prudential perspective, it is shortsighted and self-defeating, and it can ruin a professional career.</w:t>
      </w:r>
    </w:p>
    <w:p w:rsidR="00C534D6" w:rsidRPr="007F1AA7" w:rsidRDefault="00C534D6" w:rsidP="00C534D6"/>
    <w:p w:rsidR="00C534D6" w:rsidRPr="007F1AA7" w:rsidRDefault="00C534D6" w:rsidP="00C534D6">
      <w:r w:rsidRPr="007F1AA7">
        <w:t>The faculty of the School of Policy, Government, and International Affairs takes plagiarism seriously and has adopted a zero tolerance policy. This may lead to failure for the course, resulting in termination from the program and possible termination from SPGIA. This termination will be noted on the student’s transcript. For foreign students who are on a university-sponsored visa (eg. F-1, J-1 or J-2), termination also results in the revocation of their visa.</w:t>
      </w:r>
    </w:p>
    <w:p w:rsidR="00C534D6" w:rsidRPr="007F1AA7" w:rsidRDefault="00C534D6" w:rsidP="00C534D6"/>
    <w:p w:rsidR="00C534D6" w:rsidRPr="007F1AA7" w:rsidRDefault="00C534D6" w:rsidP="00C534D6">
      <w:r w:rsidRPr="007F1AA7">
        <w:t>To help enforce the SPGIA policy on plagiarism, all written work submitted in partial fulfillment of course or degree requirements must be available in electronic form so that it can be compared with electronic databases, as well as submitted to commercial services to which the School subscribes. Faculty may at any time submit a student’s work without prior permission from the student. Individual instructors may require that written work be submitted in electronic as well as printed form. The SPGIA policy on plagiarism is supplementary to the George Mason University Honor Code; it is not intended to replace it or substitute for it.</w:t>
      </w:r>
    </w:p>
    <w:p w:rsidR="00C534D6" w:rsidRPr="007F1AA7" w:rsidRDefault="00C534D6" w:rsidP="00C534D6">
      <w:r w:rsidRPr="007F1AA7">
        <w:t>(</w:t>
      </w:r>
      <w:hyperlink r:id="rId11" w:history="1">
        <w:r w:rsidRPr="007F1AA7">
          <w:rPr>
            <w:rStyle w:val="Hyperlink"/>
            <w:color w:val="auto"/>
          </w:rPr>
          <w:t>http://policy.gmu.edu/honorcode</w:t>
        </w:r>
      </w:hyperlink>
      <w:r w:rsidRPr="007F1AA7">
        <w:t xml:space="preserve"> )</w:t>
      </w:r>
    </w:p>
    <w:p w:rsidR="00C534D6" w:rsidRPr="007F1AA7" w:rsidRDefault="00C534D6" w:rsidP="00C534D6"/>
    <w:p w:rsidR="00C534D6" w:rsidRPr="007F1AA7" w:rsidRDefault="00C534D6" w:rsidP="00C534D6">
      <w:r w:rsidRPr="007F1AA7">
        <w:rPr>
          <w:b/>
        </w:rPr>
        <w:t>Professor Hart’s Addendum</w:t>
      </w:r>
    </w:p>
    <w:p w:rsidR="00C534D6" w:rsidRPr="007F1AA7" w:rsidRDefault="00C534D6" w:rsidP="00C534D6">
      <w:r w:rsidRPr="007F1AA7">
        <w:t>I believe deeply that intellectual integrity is a fundamental element of learning.  I firmly support the School’s zero tolerance policy on plagiarism and will enforce it stringently.  Ignorance is not an excuse.  To avoid plagiarism, a simple rule of thumb may be of help:  when in doubt, include a citation.   Citations, including those to web sources, should include sufficient information to allow a reader to verify the source.  Further details on when and how to cite sources will be discussed in class.  However, providing a citation to a block of text taken with minimal change from a source is not sufficient to avoid plagiarism.  You must put the block in quotation marks, thereby acknowledging the source’s contribution of specific words as well as ideas in the block.</w:t>
      </w:r>
    </w:p>
    <w:p w:rsidR="00C534D6" w:rsidRPr="007F1AA7" w:rsidRDefault="00C534D6" w:rsidP="00C534D6"/>
    <w:sectPr w:rsidR="00C534D6" w:rsidRPr="007F1AA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DE" w:rsidRDefault="00A12ADE" w:rsidP="00C534D6">
      <w:r>
        <w:separator/>
      </w:r>
    </w:p>
  </w:endnote>
  <w:endnote w:type="continuationSeparator" w:id="0">
    <w:p w:rsidR="00A12ADE" w:rsidRDefault="00A12ADE" w:rsidP="00C5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4D6" w:rsidRPr="00C534D6" w:rsidRDefault="00C534D6" w:rsidP="00C534D6">
    <w:pPr>
      <w:pStyle w:val="Footer"/>
      <w:jc w:val="center"/>
      <w:rPr>
        <w:b/>
      </w:rPr>
    </w:pPr>
    <w:r w:rsidRPr="00C534D6">
      <w:rPr>
        <w:b/>
      </w:rPr>
      <w:t xml:space="preserve">PUBP-730, </w:t>
    </w:r>
    <w:r w:rsidR="00BD2645">
      <w:rPr>
        <w:b/>
      </w:rPr>
      <w:t>Fall</w:t>
    </w:r>
    <w:r w:rsidRPr="00C534D6">
      <w:rPr>
        <w:b/>
      </w:rPr>
      <w:t xml:space="preserve"> 2016 – </w:t>
    </w:r>
    <w:r w:rsidR="0000609C">
      <w:rPr>
        <w:b/>
      </w:rPr>
      <w:t>July</w:t>
    </w:r>
    <w:r w:rsidR="0000609C" w:rsidRPr="00C534D6">
      <w:rPr>
        <w:b/>
      </w:rPr>
      <w:t xml:space="preserve"> </w:t>
    </w:r>
    <w:r w:rsidRPr="00C534D6">
      <w:rPr>
        <w:b/>
      </w:rPr>
      <w:t xml:space="preserve">Draft – p </w:t>
    </w:r>
    <w:r w:rsidRPr="00C534D6">
      <w:rPr>
        <w:b/>
      </w:rPr>
      <w:fldChar w:fldCharType="begin"/>
    </w:r>
    <w:r w:rsidRPr="00C534D6">
      <w:rPr>
        <w:b/>
      </w:rPr>
      <w:instrText xml:space="preserve"> PAGE   \* MERGEFORMAT </w:instrText>
    </w:r>
    <w:r w:rsidRPr="00C534D6">
      <w:rPr>
        <w:b/>
      </w:rPr>
      <w:fldChar w:fldCharType="separate"/>
    </w:r>
    <w:r w:rsidR="00BE35E8">
      <w:rPr>
        <w:b/>
        <w:noProof/>
      </w:rPr>
      <w:t>4</w:t>
    </w:r>
    <w:r w:rsidRPr="00C534D6">
      <w:rPr>
        <w:b/>
        <w:noProof/>
      </w:rPr>
      <w:fldChar w:fldCharType="end"/>
    </w:r>
  </w:p>
  <w:p w:rsidR="00C534D6" w:rsidRDefault="00C53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DE" w:rsidRDefault="00A12ADE" w:rsidP="00C534D6">
      <w:r>
        <w:separator/>
      </w:r>
    </w:p>
  </w:footnote>
  <w:footnote w:type="continuationSeparator" w:id="0">
    <w:p w:rsidR="00A12ADE" w:rsidRDefault="00A12ADE" w:rsidP="00C53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3EB9"/>
    <w:multiLevelType w:val="hybridMultilevel"/>
    <w:tmpl w:val="1DF6B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6D7BD2"/>
    <w:multiLevelType w:val="hybridMultilevel"/>
    <w:tmpl w:val="D7E6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C06A50"/>
    <w:multiLevelType w:val="hybridMultilevel"/>
    <w:tmpl w:val="8450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414EC"/>
    <w:multiLevelType w:val="hybridMultilevel"/>
    <w:tmpl w:val="47143686"/>
    <w:lvl w:ilvl="0" w:tplc="77B26C8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10361"/>
    <w:multiLevelType w:val="hybridMultilevel"/>
    <w:tmpl w:val="BED460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611D1A"/>
    <w:multiLevelType w:val="multilevel"/>
    <w:tmpl w:val="35E4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E565B"/>
    <w:multiLevelType w:val="hybridMultilevel"/>
    <w:tmpl w:val="7CB82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A59AB"/>
    <w:multiLevelType w:val="hybridMultilevel"/>
    <w:tmpl w:val="8AAC5D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153BD4"/>
    <w:multiLevelType w:val="hybridMultilevel"/>
    <w:tmpl w:val="D54A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1"/>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D6"/>
    <w:rsid w:val="0000609C"/>
    <w:rsid w:val="000477E7"/>
    <w:rsid w:val="00064ECA"/>
    <w:rsid w:val="0006597C"/>
    <w:rsid w:val="00090B64"/>
    <w:rsid w:val="000B095B"/>
    <w:rsid w:val="000D387D"/>
    <w:rsid w:val="000D5AE9"/>
    <w:rsid w:val="000E506D"/>
    <w:rsid w:val="001002BA"/>
    <w:rsid w:val="0010097F"/>
    <w:rsid w:val="00101A83"/>
    <w:rsid w:val="001107FE"/>
    <w:rsid w:val="00146885"/>
    <w:rsid w:val="00152896"/>
    <w:rsid w:val="00161063"/>
    <w:rsid w:val="00167921"/>
    <w:rsid w:val="00195A91"/>
    <w:rsid w:val="001C183D"/>
    <w:rsid w:val="001D22CD"/>
    <w:rsid w:val="001E1945"/>
    <w:rsid w:val="001E3B1D"/>
    <w:rsid w:val="001F6362"/>
    <w:rsid w:val="0020624B"/>
    <w:rsid w:val="002162BE"/>
    <w:rsid w:val="00235846"/>
    <w:rsid w:val="00292921"/>
    <w:rsid w:val="00297817"/>
    <w:rsid w:val="002D2B69"/>
    <w:rsid w:val="002F3E92"/>
    <w:rsid w:val="002F6DE4"/>
    <w:rsid w:val="00337217"/>
    <w:rsid w:val="00343334"/>
    <w:rsid w:val="00351CCF"/>
    <w:rsid w:val="00370100"/>
    <w:rsid w:val="00391C7F"/>
    <w:rsid w:val="00392F85"/>
    <w:rsid w:val="003933ED"/>
    <w:rsid w:val="003B6622"/>
    <w:rsid w:val="003C1526"/>
    <w:rsid w:val="00401F09"/>
    <w:rsid w:val="0041654C"/>
    <w:rsid w:val="0042097D"/>
    <w:rsid w:val="00426860"/>
    <w:rsid w:val="00426CD9"/>
    <w:rsid w:val="00447DBA"/>
    <w:rsid w:val="00467831"/>
    <w:rsid w:val="00476F2D"/>
    <w:rsid w:val="0048311F"/>
    <w:rsid w:val="004965B3"/>
    <w:rsid w:val="004A1B74"/>
    <w:rsid w:val="004B2E62"/>
    <w:rsid w:val="004B793B"/>
    <w:rsid w:val="004C303D"/>
    <w:rsid w:val="005049B7"/>
    <w:rsid w:val="00530B08"/>
    <w:rsid w:val="005419AE"/>
    <w:rsid w:val="00564CF6"/>
    <w:rsid w:val="00570F83"/>
    <w:rsid w:val="00583867"/>
    <w:rsid w:val="00585E9F"/>
    <w:rsid w:val="005A4E95"/>
    <w:rsid w:val="005B55CC"/>
    <w:rsid w:val="005F7845"/>
    <w:rsid w:val="00661662"/>
    <w:rsid w:val="00686891"/>
    <w:rsid w:val="006B0759"/>
    <w:rsid w:val="006D1AFE"/>
    <w:rsid w:val="006F7984"/>
    <w:rsid w:val="006F7D14"/>
    <w:rsid w:val="00731036"/>
    <w:rsid w:val="00734986"/>
    <w:rsid w:val="00742DB7"/>
    <w:rsid w:val="00752982"/>
    <w:rsid w:val="00754325"/>
    <w:rsid w:val="00755C52"/>
    <w:rsid w:val="00774ED2"/>
    <w:rsid w:val="0078100D"/>
    <w:rsid w:val="00791573"/>
    <w:rsid w:val="007A1E81"/>
    <w:rsid w:val="007A1FE2"/>
    <w:rsid w:val="007A3FB3"/>
    <w:rsid w:val="007A7626"/>
    <w:rsid w:val="007F1AA7"/>
    <w:rsid w:val="00873421"/>
    <w:rsid w:val="008B4134"/>
    <w:rsid w:val="008C3B35"/>
    <w:rsid w:val="00914579"/>
    <w:rsid w:val="009302F2"/>
    <w:rsid w:val="00930D81"/>
    <w:rsid w:val="009410F4"/>
    <w:rsid w:val="00957ECD"/>
    <w:rsid w:val="009676B2"/>
    <w:rsid w:val="009A5FB5"/>
    <w:rsid w:val="009E1688"/>
    <w:rsid w:val="00A12ADE"/>
    <w:rsid w:val="00A25F6C"/>
    <w:rsid w:val="00A61320"/>
    <w:rsid w:val="00A71BE5"/>
    <w:rsid w:val="00AC4D78"/>
    <w:rsid w:val="00AC578C"/>
    <w:rsid w:val="00AD4292"/>
    <w:rsid w:val="00AE3480"/>
    <w:rsid w:val="00AF55E0"/>
    <w:rsid w:val="00B15139"/>
    <w:rsid w:val="00B4617B"/>
    <w:rsid w:val="00B47D41"/>
    <w:rsid w:val="00B725DD"/>
    <w:rsid w:val="00B73511"/>
    <w:rsid w:val="00BA5E30"/>
    <w:rsid w:val="00BD2645"/>
    <w:rsid w:val="00BE35E8"/>
    <w:rsid w:val="00BF1D20"/>
    <w:rsid w:val="00C03260"/>
    <w:rsid w:val="00C16847"/>
    <w:rsid w:val="00C41FA7"/>
    <w:rsid w:val="00C51BD7"/>
    <w:rsid w:val="00C534D6"/>
    <w:rsid w:val="00C7475D"/>
    <w:rsid w:val="00CB1FA8"/>
    <w:rsid w:val="00D02AB2"/>
    <w:rsid w:val="00D15A1D"/>
    <w:rsid w:val="00D24E29"/>
    <w:rsid w:val="00D66DAB"/>
    <w:rsid w:val="00D707DF"/>
    <w:rsid w:val="00D91A89"/>
    <w:rsid w:val="00DA27BC"/>
    <w:rsid w:val="00DB04B3"/>
    <w:rsid w:val="00DF1FCD"/>
    <w:rsid w:val="00E215B8"/>
    <w:rsid w:val="00E45824"/>
    <w:rsid w:val="00E57B17"/>
    <w:rsid w:val="00E60BB7"/>
    <w:rsid w:val="00E7065A"/>
    <w:rsid w:val="00E81CFD"/>
    <w:rsid w:val="00EA1656"/>
    <w:rsid w:val="00EC1E33"/>
    <w:rsid w:val="00EE3201"/>
    <w:rsid w:val="00F012BB"/>
    <w:rsid w:val="00F14A79"/>
    <w:rsid w:val="00F27961"/>
    <w:rsid w:val="00F70A81"/>
    <w:rsid w:val="00F757C1"/>
    <w:rsid w:val="00F92E3F"/>
    <w:rsid w:val="00FB67FC"/>
    <w:rsid w:val="00FB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D6"/>
    <w:rPr>
      <w:rFonts w:eastAsia="Times New Roman"/>
    </w:rPr>
  </w:style>
  <w:style w:type="paragraph" w:styleId="Heading1">
    <w:name w:val="heading 1"/>
    <w:basedOn w:val="Normal"/>
    <w:next w:val="Normal"/>
    <w:link w:val="Heading1Char"/>
    <w:uiPriority w:val="9"/>
    <w:qFormat/>
    <w:rsid w:val="00FB72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C534D6"/>
    <w:pPr>
      <w:keepNext/>
      <w:overflowPunct w:val="0"/>
      <w:autoSpaceDE w:val="0"/>
      <w:autoSpaceDN w:val="0"/>
      <w:spacing w:before="240" w:after="120"/>
      <w:outlineLvl w:val="1"/>
    </w:pPr>
    <w:rPr>
      <w:rFonts w:ascii="Arial" w:eastAsiaTheme="minorHAnsi"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4D6"/>
    <w:rPr>
      <w:color w:val="0000FF"/>
      <w:u w:val="single"/>
    </w:rPr>
  </w:style>
  <w:style w:type="character" w:customStyle="1" w:styleId="Heading2Char">
    <w:name w:val="Heading 2 Char"/>
    <w:basedOn w:val="DefaultParagraphFont"/>
    <w:link w:val="Heading2"/>
    <w:uiPriority w:val="9"/>
    <w:semiHidden/>
    <w:rsid w:val="00C534D6"/>
    <w:rPr>
      <w:rFonts w:ascii="Arial" w:hAnsi="Arial" w:cs="Arial"/>
      <w:b/>
      <w:bCs/>
      <w:i/>
      <w:iCs/>
      <w:sz w:val="32"/>
      <w:szCs w:val="32"/>
    </w:rPr>
  </w:style>
  <w:style w:type="paragraph" w:styleId="Header">
    <w:name w:val="header"/>
    <w:basedOn w:val="Normal"/>
    <w:link w:val="HeaderChar"/>
    <w:uiPriority w:val="99"/>
    <w:unhideWhenUsed/>
    <w:rsid w:val="00C534D6"/>
    <w:pPr>
      <w:tabs>
        <w:tab w:val="center" w:pos="4680"/>
        <w:tab w:val="right" w:pos="9360"/>
      </w:tabs>
    </w:pPr>
  </w:style>
  <w:style w:type="character" w:customStyle="1" w:styleId="HeaderChar">
    <w:name w:val="Header Char"/>
    <w:basedOn w:val="DefaultParagraphFont"/>
    <w:link w:val="Header"/>
    <w:uiPriority w:val="99"/>
    <w:rsid w:val="00C534D6"/>
    <w:rPr>
      <w:rFonts w:eastAsia="Times New Roman"/>
    </w:rPr>
  </w:style>
  <w:style w:type="paragraph" w:styleId="Footer">
    <w:name w:val="footer"/>
    <w:basedOn w:val="Normal"/>
    <w:link w:val="FooterChar"/>
    <w:uiPriority w:val="99"/>
    <w:unhideWhenUsed/>
    <w:rsid w:val="00C534D6"/>
    <w:pPr>
      <w:tabs>
        <w:tab w:val="center" w:pos="4680"/>
        <w:tab w:val="right" w:pos="9360"/>
      </w:tabs>
    </w:pPr>
  </w:style>
  <w:style w:type="character" w:customStyle="1" w:styleId="FooterChar">
    <w:name w:val="Footer Char"/>
    <w:basedOn w:val="DefaultParagraphFont"/>
    <w:link w:val="Footer"/>
    <w:uiPriority w:val="99"/>
    <w:rsid w:val="00C534D6"/>
    <w:rPr>
      <w:rFonts w:eastAsia="Times New Roman"/>
    </w:rPr>
  </w:style>
  <w:style w:type="paragraph" w:styleId="BalloonText">
    <w:name w:val="Balloon Text"/>
    <w:basedOn w:val="Normal"/>
    <w:link w:val="BalloonTextChar"/>
    <w:uiPriority w:val="99"/>
    <w:semiHidden/>
    <w:unhideWhenUsed/>
    <w:rsid w:val="00C534D6"/>
    <w:rPr>
      <w:rFonts w:ascii="Tahoma" w:hAnsi="Tahoma" w:cs="Tahoma"/>
      <w:sz w:val="16"/>
      <w:szCs w:val="16"/>
    </w:rPr>
  </w:style>
  <w:style w:type="character" w:customStyle="1" w:styleId="BalloonTextChar">
    <w:name w:val="Balloon Text Char"/>
    <w:basedOn w:val="DefaultParagraphFont"/>
    <w:link w:val="BalloonText"/>
    <w:uiPriority w:val="99"/>
    <w:semiHidden/>
    <w:rsid w:val="00C534D6"/>
    <w:rPr>
      <w:rFonts w:ascii="Tahoma" w:eastAsia="Times New Roman" w:hAnsi="Tahoma" w:cs="Tahoma"/>
      <w:sz w:val="16"/>
      <w:szCs w:val="16"/>
    </w:rPr>
  </w:style>
  <w:style w:type="table" w:styleId="TableGrid">
    <w:name w:val="Table Grid"/>
    <w:basedOn w:val="TableNormal"/>
    <w:uiPriority w:val="59"/>
    <w:rsid w:val="00D02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72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72BD"/>
    <w:pPr>
      <w:ind w:left="720"/>
      <w:contextualSpacing/>
    </w:pPr>
  </w:style>
  <w:style w:type="character" w:styleId="FollowedHyperlink">
    <w:name w:val="FollowedHyperlink"/>
    <w:basedOn w:val="DefaultParagraphFont"/>
    <w:uiPriority w:val="99"/>
    <w:semiHidden/>
    <w:unhideWhenUsed/>
    <w:rsid w:val="00EE32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D6"/>
    <w:rPr>
      <w:rFonts w:eastAsia="Times New Roman"/>
    </w:rPr>
  </w:style>
  <w:style w:type="paragraph" w:styleId="Heading1">
    <w:name w:val="heading 1"/>
    <w:basedOn w:val="Normal"/>
    <w:next w:val="Normal"/>
    <w:link w:val="Heading1Char"/>
    <w:uiPriority w:val="9"/>
    <w:qFormat/>
    <w:rsid w:val="00FB72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C534D6"/>
    <w:pPr>
      <w:keepNext/>
      <w:overflowPunct w:val="0"/>
      <w:autoSpaceDE w:val="0"/>
      <w:autoSpaceDN w:val="0"/>
      <w:spacing w:before="240" w:after="120"/>
      <w:outlineLvl w:val="1"/>
    </w:pPr>
    <w:rPr>
      <w:rFonts w:ascii="Arial" w:eastAsiaTheme="minorHAnsi"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34D6"/>
    <w:rPr>
      <w:color w:val="0000FF"/>
      <w:u w:val="single"/>
    </w:rPr>
  </w:style>
  <w:style w:type="character" w:customStyle="1" w:styleId="Heading2Char">
    <w:name w:val="Heading 2 Char"/>
    <w:basedOn w:val="DefaultParagraphFont"/>
    <w:link w:val="Heading2"/>
    <w:uiPriority w:val="9"/>
    <w:semiHidden/>
    <w:rsid w:val="00C534D6"/>
    <w:rPr>
      <w:rFonts w:ascii="Arial" w:hAnsi="Arial" w:cs="Arial"/>
      <w:b/>
      <w:bCs/>
      <w:i/>
      <w:iCs/>
      <w:sz w:val="32"/>
      <w:szCs w:val="32"/>
    </w:rPr>
  </w:style>
  <w:style w:type="paragraph" w:styleId="Header">
    <w:name w:val="header"/>
    <w:basedOn w:val="Normal"/>
    <w:link w:val="HeaderChar"/>
    <w:uiPriority w:val="99"/>
    <w:unhideWhenUsed/>
    <w:rsid w:val="00C534D6"/>
    <w:pPr>
      <w:tabs>
        <w:tab w:val="center" w:pos="4680"/>
        <w:tab w:val="right" w:pos="9360"/>
      </w:tabs>
    </w:pPr>
  </w:style>
  <w:style w:type="character" w:customStyle="1" w:styleId="HeaderChar">
    <w:name w:val="Header Char"/>
    <w:basedOn w:val="DefaultParagraphFont"/>
    <w:link w:val="Header"/>
    <w:uiPriority w:val="99"/>
    <w:rsid w:val="00C534D6"/>
    <w:rPr>
      <w:rFonts w:eastAsia="Times New Roman"/>
    </w:rPr>
  </w:style>
  <w:style w:type="paragraph" w:styleId="Footer">
    <w:name w:val="footer"/>
    <w:basedOn w:val="Normal"/>
    <w:link w:val="FooterChar"/>
    <w:uiPriority w:val="99"/>
    <w:unhideWhenUsed/>
    <w:rsid w:val="00C534D6"/>
    <w:pPr>
      <w:tabs>
        <w:tab w:val="center" w:pos="4680"/>
        <w:tab w:val="right" w:pos="9360"/>
      </w:tabs>
    </w:pPr>
  </w:style>
  <w:style w:type="character" w:customStyle="1" w:styleId="FooterChar">
    <w:name w:val="Footer Char"/>
    <w:basedOn w:val="DefaultParagraphFont"/>
    <w:link w:val="Footer"/>
    <w:uiPriority w:val="99"/>
    <w:rsid w:val="00C534D6"/>
    <w:rPr>
      <w:rFonts w:eastAsia="Times New Roman"/>
    </w:rPr>
  </w:style>
  <w:style w:type="paragraph" w:styleId="BalloonText">
    <w:name w:val="Balloon Text"/>
    <w:basedOn w:val="Normal"/>
    <w:link w:val="BalloonTextChar"/>
    <w:uiPriority w:val="99"/>
    <w:semiHidden/>
    <w:unhideWhenUsed/>
    <w:rsid w:val="00C534D6"/>
    <w:rPr>
      <w:rFonts w:ascii="Tahoma" w:hAnsi="Tahoma" w:cs="Tahoma"/>
      <w:sz w:val="16"/>
      <w:szCs w:val="16"/>
    </w:rPr>
  </w:style>
  <w:style w:type="character" w:customStyle="1" w:styleId="BalloonTextChar">
    <w:name w:val="Balloon Text Char"/>
    <w:basedOn w:val="DefaultParagraphFont"/>
    <w:link w:val="BalloonText"/>
    <w:uiPriority w:val="99"/>
    <w:semiHidden/>
    <w:rsid w:val="00C534D6"/>
    <w:rPr>
      <w:rFonts w:ascii="Tahoma" w:eastAsia="Times New Roman" w:hAnsi="Tahoma" w:cs="Tahoma"/>
      <w:sz w:val="16"/>
      <w:szCs w:val="16"/>
    </w:rPr>
  </w:style>
  <w:style w:type="table" w:styleId="TableGrid">
    <w:name w:val="Table Grid"/>
    <w:basedOn w:val="TableNormal"/>
    <w:uiPriority w:val="59"/>
    <w:rsid w:val="00D02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72B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B72BD"/>
    <w:pPr>
      <w:ind w:left="720"/>
      <w:contextualSpacing/>
    </w:pPr>
  </w:style>
  <w:style w:type="character" w:styleId="FollowedHyperlink">
    <w:name w:val="FollowedHyperlink"/>
    <w:basedOn w:val="DefaultParagraphFont"/>
    <w:uiPriority w:val="99"/>
    <w:semiHidden/>
    <w:unhideWhenUsed/>
    <w:rsid w:val="00EE32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rt@gmu.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licy.gmu.edu/honorcode" TargetMode="External"/><Relationship Id="rId5" Type="http://schemas.openxmlformats.org/officeDocument/2006/relationships/webSettings" Target="webSettings.xml"/><Relationship Id="rId10" Type="http://schemas.openxmlformats.org/officeDocument/2006/relationships/hyperlink" Target="http://www.newyorker.com/magazine/2012/03/19/the-unpersuaded-2" TargetMode="External"/><Relationship Id="rId4" Type="http://schemas.openxmlformats.org/officeDocument/2006/relationships/settings" Target="settings.xml"/><Relationship Id="rId9" Type="http://schemas.openxmlformats.org/officeDocument/2006/relationships/hyperlink" Target="http://www.newyorker.com/magazine/2012/03/19/the-unpersuaded-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2016-07-20T19:33:00Z</cp:lastPrinted>
  <dcterms:created xsi:type="dcterms:W3CDTF">2016-07-18T18:06:00Z</dcterms:created>
  <dcterms:modified xsi:type="dcterms:W3CDTF">2016-07-26T13:55:00Z</dcterms:modified>
</cp:coreProperties>
</file>